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Конкурсный управляющий обязан представлять по требованию арбитражного суда в арбитражный суд все сведения, касающиеся конкурсного производства, в том числе отчет о своей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 представляет собранию кредиторов или, если им образован комитет кредиторов, комитету кредиторов отчет о своей деятельности, информацию о финансовом состоянии кредитной организации и ее имуществе на день открытия конкурсного производства и в ходе конкурсного производства, а также иную информацию не реже одного раза в месяц при условии, что собранием кредиторов или комитетом кредиторов не установлены более продолжительные период или сроки представления отчета.</w:t>
      </w:r>
    </w:p>
    <w:p>
      <w:pPr>
        <w:spacing w:after="120"/>
        <w:ind w:firstLine="709"/>
      </w:pPr>
      <w:r>
        <w:rPr>
          <w:sz w:val="24"/>
        </w:rPr>
        <w:t xml:space="preserve">Отчет конкурсного управляющего после его представления и рассмотрения собранием кредиторов или комитетом кредиторов направляется в Банк России.</w:t>
      </w:r>
    </w:p>
    <w:p>
      <w:pPr>
        <w:spacing w:after="120"/>
        <w:ind w:firstLine="709"/>
      </w:pPr>
      <w:r>
        <w:rPr>
          <w:sz w:val="24"/>
        </w:rPr>
        <w:t xml:space="preserve">3. В отчете конкурсного управляющего собранию кредиторов или комитету кредиторов должны содержаться сведения:</w:t>
      </w:r>
    </w:p>
    <w:p>
      <w:pPr>
        <w:spacing w:after="120"/>
        <w:ind w:firstLine="709"/>
      </w:pPr>
      <w:r>
        <w:rPr>
          <w:sz w:val="24"/>
        </w:rPr>
        <w:t xml:space="preserve">1) о сформированной конкурсной массе, в том числе о ходе и (или) об итогах инвентаризации имущества кредитной организации, о ходе и (или) результатах оценки имущества кредитной организации, если для оценки ее имущества привлекался оценщик;</w:t>
      </w:r>
    </w:p>
    <w:p>
      <w:pPr>
        <w:spacing w:after="120"/>
        <w:ind w:firstLine="709"/>
      </w:pPr>
      <w:r>
        <w:rPr>
          <w:sz w:val="24"/>
        </w:rPr>
        <w:t xml:space="preserve">2) о размере денежных средств, поступивших на основной счет кредитной организации, об источниках данных поступлений;</w:t>
      </w:r>
    </w:p>
    <w:p>
      <w:pPr>
        <w:spacing w:after="120"/>
        <w:ind w:firstLine="709"/>
      </w:pPr>
      <w:r>
        <w:rPr>
          <w:sz w:val="24"/>
        </w:rPr>
        <w:t xml:space="preserve">3) о ходе реализации имущества кредитной организации с указанием сведений о порядке продажи, балансовой стоимости, его покупателях, а также сумм, поступивших от реализации имущества;</w:t>
      </w:r>
    </w:p>
    <w:p>
      <w:pPr>
        <w:spacing w:after="120"/>
        <w:ind w:firstLine="709"/>
      </w:pPr>
      <w:r>
        <w:rPr>
          <w:sz w:val="24"/>
        </w:rPr>
        <w:t xml:space="preserve">4) о количестве и об общем размере требований о взыскании задолженности, предъявленных конкурсным управляющим к третьим лицам;</w:t>
      </w:r>
    </w:p>
    <w:p>
      <w:pPr>
        <w:spacing w:after="120"/>
        <w:ind w:firstLine="709"/>
      </w:pPr>
      <w:r>
        <w:rPr>
          <w:sz w:val="24"/>
        </w:rPr>
        <w:t xml:space="preserve">5) о принятых мерах по обеспечению сохранности имущества кредитной организации, а также по выявлению и истребованию имущества кредитной организации, находящегося во владении у третьих лиц;</w:t>
      </w:r>
    </w:p>
    <w:p>
      <w:pPr>
        <w:spacing w:after="120"/>
        <w:ind w:firstLine="709"/>
      </w:pPr>
      <w:r>
        <w:rPr>
          <w:sz w:val="24"/>
        </w:rPr>
        <w:t xml:space="preserve">6) о принятых мерах по признанию сделок кредитной организации недействительными, а также по заявлению отказа от исполнения договоров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7) о ведении реестра требований кредиторов с указанием общего размера требований кредиторов, включенных в этот реестр, и размеров требований кредиторов каждой очереди;</w:t>
      </w:r>
    </w:p>
    <w:p>
      <w:pPr>
        <w:spacing w:after="120"/>
        <w:ind w:firstLine="709"/>
      </w:pPr>
      <w:r>
        <w:rPr>
          <w:sz w:val="24"/>
        </w:rPr>
        <w:t xml:space="preserve">8) о количестве работников кредитной организации, продолжающих свою деятельность в ходе конкурсного производства, а также о количестве работников кредитной организации, уволенных в ходе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9) о проведенной конкурсным управляющим работе по закрытию счетов кредитной организации и ее результатах;</w:t>
      </w:r>
    </w:p>
    <w:p>
      <w:pPr>
        <w:spacing w:after="120"/>
        <w:ind w:firstLine="709"/>
      </w:pPr>
      <w:r>
        <w:rPr>
          <w:sz w:val="24"/>
        </w:rPr>
        <w:t xml:space="preserve">10) о сумме расходов на проведение конкурсного производства с указанием их назначения;</w:t>
      </w:r>
    </w:p>
    <w:p>
      <w:pPr>
        <w:spacing w:after="120"/>
        <w:ind w:firstLine="709"/>
      </w:pPr>
      <w:r>
        <w:rPr>
          <w:sz w:val="24"/>
        </w:rPr>
        <w:t xml:space="preserve">11) о привлечении к субсидиарной ответственности третьих лиц, которые в соответствии с федеральным законом несут такую ответственность по обязательствам кредитной организации в связи с доведением ее до банкротства;</w:t>
      </w:r>
    </w:p>
    <w:p>
      <w:pPr>
        <w:spacing w:after="120"/>
        <w:ind w:firstLine="709"/>
      </w:pPr>
      <w:r>
        <w:rPr>
          <w:sz w:val="24"/>
        </w:rPr>
        <w:t xml:space="preserve">12) иные сведения о ходе конкурсного производства, состав которых определяется конкурсным управляющим, а также требованиями собрания кредиторов, или комитета кредиторов, или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 ежемесячно представляет в Банк России бухгалтерскую и статистическую отчетность кредитной организации, а также иную информацию о ходе конкурсного производства по запросу Банка России в соответствии с перечнем и в порядке , которые установлены Банком России.</w:t>
      </w:r>
    </w:p>
    <w:p>
      <w:pPr>
        <w:spacing w:after="120"/>
        <w:ind w:firstLine="709"/>
      </w:pPr>
      <w:r>
        <w:rPr>
          <w:sz w:val="24"/>
        </w:rPr>
        <w:t xml:space="preserve">5. Отчет о проведении предварительных выплат кредиторам первой очереди, осуществляемых в соответствии со статьей 189.94 настоящего Федерального закона, представляется конкурсным управляющим в арбитражный суд и Банк России.</w:t>
      </w:r>
    </w:p>
    <w:p>
      <w:pPr>
        <w:spacing w:after="120"/>
        <w:ind w:firstLine="709"/>
      </w:pPr>
      <w:r>
        <w:rPr>
          <w:sz w:val="24"/>
        </w:rPr>
        <w:t xml:space="preserve">6. Банк России вправе проводить проверки деятельности конкурсного управляющего в случаях и в порядке , которые установлены нормативными актами Банка России.</w:t>
      </w:r>
    </w:p>
    <w:p>
      <w:pPr>
        <w:spacing w:after="120"/>
        <w:ind w:firstLine="709"/>
      </w:pPr>
      <w:r>
        <w:rPr>
          <w:sz w:val="24"/>
        </w:rPr>
        <w:t xml:space="preserve">7. Банк России вправе направить конкурсному управляющему предписание об устранении нарушений нормативных правовых актов, регулирующих отношения, связанные с несостоятельностью (банкротством) кредитных организаций, которые выявлены по данным представляемой конкурсным управляющим отчетности или в ходе проверки его деятельности.</w:t>
      </w:r>
    </w:p>
    <w:p>
      <w:pPr>
        <w:spacing w:after="120"/>
        <w:ind w:firstLine="709"/>
      </w:pPr>
      <w:r>
        <w:rPr>
          <w:sz w:val="24"/>
        </w:rPr>
        <w:t xml:space="preserve">8. Неисполнение предписания Банка России об устранении выявленных нарушений является основанием для аннулирования аккредитации конкурсного управляющего, аккредитованного при Банке России. Решение Банка России может быть обжаловано в арбитражный суд в течение десяти дней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9. В случае выявления Банком России нарушений при осуществлении полномочий конкурсного управляющего Агентством последнее обязано в течение десяти дней со дня получения соответствующего предписания Банка России принять меры по их устранению и уведомить об этом Банк России.</w:t>
      </w:r>
    </w:p>
    <w:p>
      <w:pPr>
        <w:spacing w:after="120"/>
        <w:ind w:firstLine="709"/>
      </w:pPr>
      <w:r>
        <w:rPr>
          <w:sz w:val="24"/>
        </w:rPr>
        <w:t xml:space="preserve">10. Неисполнение Агентством предписания Банка России об устранении нарушения является основанием для обращения Банка России в арбитражный суд, рассматривающий дело о банкротстве, с жалобой на действия Агентства.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жалобы, указанной в пункте 10 настоящей статьи, арбитражный суд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жалобы о признании действий конкурсного управляющего незаконными и о понуждении конкурсного управляющего к устранению нарушения;</w:t>
      </w:r>
    </w:p>
    <w:p>
      <w:pPr>
        <w:spacing w:after="120"/>
        <w:ind w:firstLine="709"/>
      </w:pPr>
      <w:r>
        <w:rPr>
          <w:sz w:val="24"/>
        </w:rPr>
        <w:t xml:space="preserve">2) об отстранении представителя Агентства;</w:t>
      </w:r>
    </w:p>
    <w:p>
      <w:pPr>
        <w:spacing w:after="120"/>
        <w:ind w:firstLine="709"/>
      </w:pPr>
      <w:r>
        <w:rPr>
          <w:sz w:val="24"/>
        </w:rPr>
        <w:t xml:space="preserve">3) об отказе в удовлетворении жалобы.</w:t>
      </w:r>
    </w:p>
    <w:p>
      <w:pPr>
        <w:spacing w:after="120"/>
        <w:ind w:firstLine="709"/>
      </w:pPr>
      <w:r>
        <w:rPr>
          <w:sz w:val="24"/>
        </w:rPr>
        <w:t xml:space="preserve">12. В случае получения Банком России жалобы комитета кредиторов на действия конкурсного управляющего или ходатайства об аннулировании его аккредитации Банк России обязан в тридцатидневный срок рассмотреть указанные жалобу или ходатайство и принять решение:</w:t>
      </w:r>
    </w:p>
    <w:p>
      <w:pPr>
        <w:spacing w:after="120"/>
        <w:ind w:firstLine="709"/>
      </w:pPr>
      <w:r>
        <w:rPr>
          <w:sz w:val="24"/>
        </w:rPr>
        <w:t xml:space="preserve">1) о направлении конкурсному управляющему предписания об устранении нарушения нормативных правовых актов, регулирующих отношения, связанные с несостоятельностью (банкротством) кредитных организаций;</w:t>
      </w:r>
    </w:p>
    <w:p>
      <w:pPr>
        <w:spacing w:after="120"/>
        <w:ind w:firstLine="709"/>
      </w:pPr>
      <w:r>
        <w:rPr>
          <w:sz w:val="24"/>
        </w:rPr>
        <w:t xml:space="preserve">2) о проведении проверки деятельности конкурсного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3) об аннулировании аккредитации;</w:t>
      </w:r>
    </w:p>
    <w:p>
      <w:pPr>
        <w:spacing w:after="120"/>
        <w:ind w:firstLine="709"/>
      </w:pPr>
      <w:r>
        <w:rPr>
          <w:sz w:val="24"/>
        </w:rPr>
        <w:t xml:space="preserve">4) о признании жалобы необоснованной.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189.79</dc:title>
  <dc:creator>АРБИТРАЖ! · arbi.ru</dc:creator>
  <cp:lastModifiedBy>АРБИТРАЖ!</cp:lastModifiedBy>
  <dcterms:created xsi:type="dcterms:W3CDTF">2026-10-22T20:15:42.271Z</dcterms:created>
</cp:coreProperties>
</file>