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189.90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189.90</w:t>
      </w:r>
    </w:p>
    <w:p>
      <w:pPr>
        <w:spacing w:after="120"/>
        <w:ind w:firstLine="709"/>
      </w:pPr>
      <w:r>
        <w:rPr>
          <w:sz w:val="24"/>
        </w:rPr>
        <w:t xml:space="preserve">- Кредитор (конкурсный управляющий) хочет признать договор о переводе долга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1. Сделка, совершенная кредитной организацией или иным лицом за ее счет, может быть признана арбитражным судом, рассматривающим дело о банкротстве кредитной организации, недействительной по заявлению конкурсного управляющего в порядке и по основаниям, которые предусмотрены настоящим Федеральным законом, Гражданским кодексом Российской Федерации и другими федеральными законами, с учетом особенностей, установленных настоящим параграфом. К оспариванию таких сделок применяются правила, предусмотренные пунктами 1 - 10 статьи 189.40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2. Конкурсный управляющий кредитной организации в порядке, установленном статьей 102 настоящего Федерального закона, вправе отказаться от исполнения договоров и иных сделок, совершенных кредитной организацией и не исполненных сторонами полностью или частично, если исполнение кредитной организацией указанных сделок повлечет за собой убытки для кредитной организации по сравнению с аналогичными сделками, совершенными при сравнимых обстоятельствах. При этом отказ от исполнения финансовых договоров, соответствующих требованиям пункта 1 статьи 4.1 настоящего Федерального закона, может быть заявлен только в порядке, установленном пунктом 6 статьи 102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В случаях, предусмотренных пунктом 2 настоящей статьи, договор, заключенный кредитной организацией, считается расторгнутым со дня получения каждой из сторон указанного договора заявления конкурсного управляющего об отказе от исполнения указанного договора.</w:t>
      </w:r>
    </w:p>
    <w:p>
      <w:pPr>
        <w:spacing w:after="120"/>
        <w:ind w:firstLine="709"/>
      </w:pPr>
      <w:r>
        <w:rPr>
          <w:sz w:val="24"/>
        </w:rPr>
        <w:t xml:space="preserve">Сторона договора, который заключен кредитной организацией и в отношении которого заявлен отказ от исполнения, вправе потребовать от кредитной организации возмещения убытков, вызванных отказом от исполнения указанного договора.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189.90</dc:title>
  <dc:creator>АРБИТРАЖ! · arbi.ru</dc:creator>
  <cp:lastModifiedBy>АРБИТРАЖ!</cp:lastModifiedBy>
  <dcterms:created xsi:type="dcterms:W3CDTF">2026-10-22T12:56:11.735Z</dcterms:created>
</cp:coreProperties>
</file>