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189.91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189.91</w:t>
      </w:r>
    </w:p>
    <w:p>
      <w:pPr>
        <w:spacing w:after="120"/>
        <w:ind w:firstLine="709"/>
      </w:pPr>
      <w:r>
        <w:rPr>
          <w:sz w:val="24"/>
        </w:rPr>
        <w:t xml:space="preserve">- Кредитор (нотариус, иное лицо) хочет исключить из конкурсной массы должника денежные средства (имущество)</w:t>
      </w:r>
    </w:p>
    <w:p>
      <w:pPr>
        <w:spacing w:after="120"/>
        <w:ind w:firstLine="709"/>
      </w:pPr>
      <w:r>
        <w:rPr>
          <w:sz w:val="24"/>
        </w:rPr>
        <w:t xml:space="preserve">1. Все имущество кредитной организации, имеющееся на день открытия конкурсного производства и выявленное в ходе конкурсного производства, составляет конкурсную массу.</w:t>
      </w:r>
    </w:p>
    <w:p>
      <w:pPr>
        <w:spacing w:after="120"/>
        <w:ind w:firstLine="709"/>
      </w:pPr>
      <w:r>
        <w:rPr>
          <w:sz w:val="24"/>
        </w:rPr>
        <w:t xml:space="preserve">2. Из имущества кредитной организации, которое составляет конкурсную массу, исключаются имущество, составляющее ипотечное покрытие в соответствии с пунктом 4 настоящей статьи, ценные бумаги и иное имущество клиентов кредитной организации, принятые и (или) приобретенные кредитной организацией за их счет по договорам хранения, договорам доверительного управления, депозитарным договорам, договорам о брокерском обслуживании и договорам депозитных счетов нотариусов, а также иное имущество, исключаемое из конкурсной массы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391-ФЗ)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составе имущества кредитной организации отдельно учитывается и подлежит обязательной оценке имущество, являющееся предметом залога.</w:t>
      </w:r>
    </w:p>
    <w:p>
      <w:pPr>
        <w:spacing w:after="120"/>
        <w:ind w:firstLine="709"/>
      </w:pPr>
      <w:r>
        <w:rPr>
          <w:sz w:val="24"/>
        </w:rPr>
        <w:t xml:space="preserve">Не подлежит обязательной оценке залог прав по договору банковского счета.</w:t>
      </w:r>
    </w:p>
    <w:p>
      <w:pPr>
        <w:spacing w:after="120"/>
        <w:ind w:firstLine="709"/>
      </w:pPr>
      <w:r>
        <w:rPr>
          <w:sz w:val="24"/>
        </w:rPr>
        <w:t xml:space="preserve">3. При наличии в составе имущества кредитной организации имущества, относящегося к социально значимым объектам в соответствии с настоящим Федеральным законом, и жилищного фонда социального использования, которые не включаются в конкурсную массу в соответствии с настоящим Федеральным законом, передача (реализация) указанного имущества осуществляется конкурсным управляющим в порядке и на условиях, которые установлены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4. Составляющее ипотечное покрытие имущество кредитной организации, осуществлявшей в соответствии с Федеральным законом "Об ипотечных ценных бумагах" эмиссию облигаций с ипотечным покрытием, исключается из конкурсной массы, а требования кредиторов по облигациям с ипотечным покрытием удовлетворяются в порядке, установленном указанным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5. Признание кредитной организации, предоставившей обеспечение в соответствии со статьей 51.8 Федерального закона "О рынке ценных бумаг", банкротом не препятствует прекращению обязательств из финансовых договоров, определению и исполнению нетто-обязательства в порядке, предусмотренном статьей 4.1 настоящего Федерального закона. Если реализация предмета обеспечения, в том числе путем оставления его за собой, не осуществлена кредитором в течение пятнадцати рабочих дней с даты определения нетто-обязательства, имущество, являющееся предметом обеспечения, подлежит включению в конкурсную массу кредитной организации.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02.07.2021 N 353-ФЗ)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189.91</dc:title>
  <dc:creator>АРБИТРАЖ! · arbi.ru</dc:creator>
  <cp:lastModifiedBy>АРБИТРАЖ!</cp:lastModifiedBy>
  <dcterms:created xsi:type="dcterms:W3CDTF">2026-10-22T22:47:30.300Z</dcterms:created>
</cp:coreProperties>
</file>