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завершения расчетов с кредиторами, согласования ликвидационного баланса, а также после прекращения производства по делу о банкротстве в случае, предусмотренном подпунктом 2 пункта 1 статьи 189.70 настоящего Федерального закона, конкурсный управляющий обязан представить в арбитражный суд отчет о результатах проведения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К отчету конкурсного управляющего о результатах проведения конкурсного производства прилагаются:</w:t>
      </w:r>
    </w:p>
    <w:p>
      <w:pPr>
        <w:spacing w:after="120"/>
        <w:ind w:firstLine="709"/>
      </w:pPr>
      <w:r>
        <w:rPr>
          <w:sz w:val="24"/>
        </w:rPr>
        <w:t xml:space="preserve">1) ликвидационный баланс;</w:t>
      </w:r>
    </w:p>
    <w:p>
      <w:pPr>
        <w:spacing w:after="120"/>
        <w:ind w:firstLine="709"/>
      </w:pPr>
      <w:r>
        <w:rPr>
          <w:sz w:val="24"/>
        </w:rPr>
        <w:t xml:space="preserve">2) документы, подтверждающие реализацию имущества кредитной организации и основания для списания имущества;</w:t>
      </w:r>
    </w:p>
    <w:p>
      <w:pPr>
        <w:spacing w:after="120"/>
        <w:ind w:firstLine="709"/>
      </w:pPr>
      <w:r>
        <w:rPr>
          <w:sz w:val="24"/>
        </w:rPr>
        <w:t xml:space="preserve">3) реестр требований кредиторов с указанием размера погашенных требований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189.99</dc:title>
  <dc:creator>АРБИТРАЖ! · arbi.ru</dc:creator>
  <cp:lastModifiedBy>АРБИТРАЖ!</cp:lastModifiedBy>
  <dcterms:created xsi:type="dcterms:W3CDTF">2026-10-22T20:13:35.845Z</dcterms:created>
</cp:coreProperties>
</file>