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195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Внешний управляющий обязан направить разработанный им план внешнего управления не менее чем за пятнадцать дней до даты его рассмотрения собранием кредиторов в федеральный орган исполнительной власти, обеспечивающий реализацию единой государственной политики в отрасли экономики, в которой осуществляет свою деятельность стратегические предприятие или организация.</w:t>
      </w:r>
    </w:p>
    <w:p>
      <w:pPr>
        <w:spacing w:after="120"/>
        <w:ind w:firstLine="709"/>
      </w:pPr>
      <w:r>
        <w:rPr>
          <w:sz w:val="24"/>
        </w:rPr>
        <w:t xml:space="preserve">2. Указанный в пункте 1 настоящей статьи федеральный орган исполнительной власти направляет собранию кредиторов и в арбитражный суд заключение о плане внешнего управления, содержащее анализ результатов предусмотренных планом внешнего управления мер по восстановлению платежеспособности должника в ходе внешнего управления.</w:t>
      </w:r>
    </w:p>
    <w:p>
      <w:pPr>
        <w:spacing w:after="120"/>
        <w:ind w:firstLine="709"/>
      </w:pPr>
      <w:r>
        <w:rPr>
          <w:sz w:val="24"/>
        </w:rPr>
        <w:t xml:space="preserve">3. Федеральный орган исполнительной власти, обеспечивающий реализацию единой государственной политики в отрасли экономики, в которой осуществляет свою деятельность стратегические предприятие или организация, вправе до даты утверждения собранием кредиторов плана внешнего управления в отношении стратегических предприятия или организации направить в арбитражный суд ходатайство о переходе к финансовому оздоровлению, если ранее финансовое оздоровление в отношении данного должника не применялось. К указанному ходатайству должен быть приложен график погашения задолженности, а также сведения об обеспечении исполнения обязательств должника, в том числе путем предоставления государственных гарантий, в соответствии с графиком погашения задолженности. Размер предоставляемого обеспечения не может быть менее размера обязательств должника, отраженных в бухгалтерском балансе на последнюю отчетную дату до проведения первого собрания кредиторов. При этом утвержденный арбитражным судом график погашения задолженности должен предусматривать начало погашения задолженности не позднее чем через месяц с даты вынесения арбитражным судом определения о введении финансового оздоровления и погашение требований кредиторов ежемесячно равными долями в течение года с даты начала погашения требований кредиторов.</w:t>
      </w:r>
    </w:p>
    <w:p>
      <w:pPr>
        <w:spacing w:after="120"/>
        <w:ind w:firstLine="709"/>
      </w:pPr>
      <w:r>
        <w:rPr>
          <w:sz w:val="24"/>
        </w:rPr>
        <w:t xml:space="preserve">В этом случае арбитражный суд может вынести определение о переходе к финансовому оздоровлению.</w:t>
      </w:r>
    </w:p>
    <w:p>
      <w:pPr>
        <w:spacing w:after="120"/>
        <w:ind w:firstLine="709"/>
      </w:pPr>
      <w:r>
        <w:rPr>
          <w:sz w:val="24"/>
        </w:rPr>
        <w:t xml:space="preserve">4. План внешнего управления в отношении стратегических предприятия или организации может предусматривать сделки, не относящиеся к хозяйственной деятельности должника, связанные с:</w:t>
      </w:r>
    </w:p>
    <w:p>
      <w:pPr>
        <w:spacing w:after="120"/>
        <w:ind w:firstLine="709"/>
      </w:pPr>
      <w:r>
        <w:rPr>
          <w:sz w:val="24"/>
        </w:rPr>
        <w:t xml:space="preserve">продажей предприятия;</w:t>
      </w:r>
    </w:p>
    <w:p>
      <w:pPr>
        <w:spacing w:after="120"/>
        <w:ind w:firstLine="709"/>
      </w:pPr>
      <w:r>
        <w:rPr>
          <w:sz w:val="24"/>
        </w:rPr>
        <w:t xml:space="preserve">отчуждением или обременением недвижимого имущества;</w:t>
      </w:r>
    </w:p>
    <w:p>
      <w:pPr>
        <w:spacing w:after="120"/>
        <w:ind w:firstLine="709"/>
      </w:pPr>
      <w:r>
        <w:rPr>
          <w:sz w:val="24"/>
        </w:rPr>
        <w:t xml:space="preserve">распоряжением иным имуществом должника, балансовая стоимость которого составляет более пяти процентов балансовой стоимости активов должника, определенных на основании бухгалтерской отчетности за последний отчетный период;</w:t>
      </w:r>
    </w:p>
    <w:p>
      <w:pPr>
        <w:spacing w:after="120"/>
        <w:ind w:firstLine="709"/>
      </w:pPr>
      <w:r>
        <w:rPr>
          <w:sz w:val="24"/>
        </w:rPr>
        <w:t xml:space="preserve">получением и выдачей займов (кредитов), выдачей поручительств и гарантий, уступкой прав требования, переводом долга, а также учреждением доверительного управления имуществом должника;</w:t>
      </w:r>
    </w:p>
    <w:p>
      <w:pPr>
        <w:spacing w:after="120"/>
        <w:ind w:firstLine="709"/>
      </w:pPr>
      <w:r>
        <w:rPr>
          <w:sz w:val="24"/>
        </w:rPr>
        <w:t xml:space="preserve">отчуждением и приобретением акций, долей хозяйственных товариществ и обществ;</w:t>
      </w:r>
    </w:p>
    <w:p>
      <w:pPr>
        <w:spacing w:after="120"/>
        <w:ind w:firstLine="709"/>
      </w:pPr>
      <w:r>
        <w:rPr>
          <w:sz w:val="24"/>
        </w:rPr>
        <w:t xml:space="preserve">заключением договоров простого товарищества.</w:t>
      </w:r>
    </w:p>
    <w:p>
      <w:pPr>
        <w:spacing w:after="120"/>
        <w:ind w:firstLine="709"/>
      </w:pPr>
      <w:r>
        <w:rPr>
          <w:sz w:val="24"/>
        </w:rPr>
        <w:t xml:space="preserve">5. Внешний управляющий не вправе отказаться от исполнения договоров должника, связанных с выполнением работ по государственному оборонному заказу, обеспечением федеральных государственных нужд в области поддержания обороноспособности и безопасности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6. Внешний управляющий не вправе отчуждать отдельные виды имущества, имущественных и иных прав, которые входят в состав имущественного комплекса должника - стратегических предприятия или организации, предназначенного для осуществления деятельности, связанной с выполнением работ по государственному оборонному заказу, обеспечением федеральных государственных нужд в области поддержания обороноспособности и безопасности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27.07.2027 п. 7 ст. 195 излагается в новой редакции ( ФЗ от 26.07.2026 N 253-ФЗ). См. будущую редакцию .</w:t>
      </w:r>
    </w:p>
    <w:p>
      <w:pPr>
        <w:spacing w:after="120"/>
        <w:ind w:firstLine="709"/>
      </w:pPr>
      <w:r>
        <w:rPr>
          <w:sz w:val="24"/>
        </w:rPr>
        <w:t xml:space="preserve">7. Продажа предприятия должника, которое предназначено для осуществления деятельности, связанной с выполнением работ по государственному оборонному заказу, обеспечением федеральных государственных нужд в области поддержания обороноспособности и безопасности Российской Федерации, осуществляется путем проведения открытых торгов в форме конкурса, если настоящей статьей не установлено иное.</w:t>
      </w:r>
    </w:p>
    <w:p>
      <w:pPr>
        <w:spacing w:after="120"/>
        <w:ind w:firstLine="709"/>
      </w:pPr>
      <w:r>
        <w:rPr>
          <w:sz w:val="24"/>
        </w:rPr>
        <w:t xml:space="preserve">В случае, если в состав предприятия должника, которое предназначено для осуществления деятельности, связанной с выполнением работ по государственному оборонному заказу, обеспечением федеральных государственных нужд в области поддержания обороноспособности и безопасности Российской Федерации, входит имущество, относящееся к ограниченно оборотоспособному имуществу, продажа предприятия осуществляется только на закрытых торгах в форме конкурса.</w:t>
      </w:r>
    </w:p>
    <w:p>
      <w:pPr>
        <w:spacing w:after="120"/>
        <w:ind w:firstLine="709"/>
      </w:pPr>
      <w:r>
        <w:rPr>
          <w:sz w:val="24"/>
        </w:rPr>
        <w:t xml:space="preserve">При продаже предприятия или имущества должника, которые относятся к ограниченно оборотоспособному имуществу, на закрытых торгах в них участвуют только лица, которые в соответствии с федеральным законом могут иметь в собственности или на ином вещном праве указанное имущество.</w:t>
      </w:r>
    </w:p>
    <w:p>
      <w:pPr>
        <w:spacing w:after="120"/>
        <w:ind w:firstLine="709"/>
      </w:pPr>
      <w:r>
        <w:rPr>
          <w:sz w:val="24"/>
        </w:rPr>
        <w:t xml:space="preserve">Обязательными условиями конкурса являются обязательства покупателя:</w:t>
      </w:r>
    </w:p>
    <w:p>
      <w:pPr>
        <w:spacing w:after="120"/>
        <w:ind w:firstLine="709"/>
      </w:pPr>
      <w:r>
        <w:rPr>
          <w:sz w:val="24"/>
        </w:rPr>
        <w:t xml:space="preserve">обеспечить сохранение целевого назначения указанного имущественного комплекса и имущества мобилизационного назначения должника;</w:t>
      </w:r>
    </w:p>
    <w:p>
      <w:pPr>
        <w:spacing w:after="120"/>
        <w:ind w:firstLine="709"/>
      </w:pPr>
      <w:r>
        <w:rPr>
          <w:sz w:val="24"/>
        </w:rPr>
        <w:t xml:space="preserve">выполнять договоры должника, связанные с выполнением работ по государственному оборонному заказу, обеспечением федеральных государственных нужд в области поддержания обороноспособности и безопасности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8. При продаже предприятия должника - стратегических предприятия или организации, предназначенных для осуществления деятельности, связанной с выполнением работ по государственному оборонному заказу, обеспечением федеральных государственных нужд в области поддержания обороноспособности и безопасности Российской Федерации, Российская Федерация имеет право преимущественного приобретения этого предприятия.</w:t>
      </w:r>
    </w:p>
    <w:p>
      <w:pPr>
        <w:spacing w:after="120"/>
        <w:ind w:firstLine="709"/>
      </w:pPr>
      <w:r>
        <w:rPr>
          <w:sz w:val="24"/>
        </w:rPr>
        <w:t xml:space="preserve">В случае продажи на торгах предприятия должника - стратегической организации, не являющейся федеральным государственным унитарным предприятием, которое предназначено для осуществления деятельности, связанной с выполнением работ по государственному оборонному заказу, обеспечением федеральных государственных нужд в области поддержания обороноспособности и безопасности Российской Федерации, Российская Федерация вправе в течение месяца с даты подписания протокола об итогах торгов заключить договор купли-продажи, предусматривающий приобретение данного предприятия по цене, определенной по результатам торгов и указанной в протоколе об итогах торгов, на условиях, установленных для проведения конкурса.</w:t>
      </w:r>
    </w:p>
    <w:p>
      <w:pPr>
        <w:spacing w:after="120"/>
        <w:ind w:firstLine="709"/>
      </w:pPr>
      <w:r>
        <w:rPr>
          <w:sz w:val="24"/>
        </w:rPr>
        <w:t xml:space="preserve">В случае, если Российская Федерация в течение указанного срока не заключила договор купли-продажи, этот договор заключается с победителем торгов, установленным в протоколе об итогах торгов.</w:t>
      </w:r>
    </w:p>
    <w:p>
      <w:pPr>
        <w:spacing w:after="120"/>
        <w:ind w:firstLine="709"/>
      </w:pPr>
      <w:r>
        <w:rPr>
          <w:sz w:val="24"/>
        </w:rPr>
        <w:t xml:space="preserve">Победитель торгов обязан уплатить продажную цену предприятия, определенную на торгах в срок, который предусмотрен в сообщении о проведении торгов и не может превышать месяц с даты заключения договора купли-продажи.</w:t>
      </w:r>
    </w:p>
    <w:p>
      <w:pPr>
        <w:spacing w:after="120"/>
        <w:ind w:firstLine="709"/>
      </w:pPr>
      <w:r>
        <w:rPr>
          <w:sz w:val="24"/>
        </w:rPr>
        <w:t xml:space="preserve">К участию в торгах не допускаются конкурсные кредиторы и их аффилированные лица .</w:t>
      </w:r>
    </w:p>
    <w:p>
      <w:pPr>
        <w:spacing w:after="120"/>
        <w:ind w:firstLine="709"/>
      </w:pPr>
      <w:r>
        <w:rPr>
          <w:sz w:val="24"/>
        </w:rPr>
        <w:t xml:space="preserve">9. В случае продажи на торгах предприятия должника - стратегического предприятия, являющегося федеральным государственным унитарным предприятием, которое предназначено для осуществления деятельности, связанной с выполнением работ по государственному оборонному заказу, обеспечением федеральных государственных нужд в области поддержания обороноспособности и безопасности Российской Федерации, Российская Федерация в течение месяца с даты подписания протокола об итогах торгов вправе предоставить должнику денежные средства в размере, равном продажной цене данного предприятия, определенной по результатам проведения конкурса и указанной в протоколе об итогах торгов. Указанные средства должник обязан направить на погашение требований кредиторов в соответствии с реестром требований кредиторов.</w:t>
      </w:r>
    </w:p>
    <w:p>
      <w:pPr>
        <w:spacing w:after="120"/>
        <w:ind w:firstLine="709"/>
      </w:pPr>
      <w:r>
        <w:rPr>
          <w:sz w:val="24"/>
        </w:rPr>
        <w:t xml:space="preserve">В случае, если Российская Федерация в течение указанного срока не предоставила должнику в соответствии с настоящей статьей денежные средства, договор купли-продажи заключается с победителем торгов, установленным в протоколе об итогах торгов.</w:t>
      </w:r>
    </w:p>
    <w:p>
      <w:pPr>
        <w:spacing w:after="120"/>
        <w:ind w:firstLine="709"/>
      </w:pPr>
      <w:r>
        <w:rPr>
          <w:sz w:val="24"/>
        </w:rPr>
        <w:t xml:space="preserve">Победитель торгов обязан уплатить продажную цену предприятия, определенную на торгах, в срок, который предусмотрен в сообщении о проведении торгов и который не может превышать месяц с даты заключения договора купли-продажи.</w:t>
      </w:r>
    </w:p>
    <w:p>
      <w:pPr>
        <w:spacing w:after="120"/>
        <w:ind w:firstLine="709"/>
      </w:pPr>
      <w:r>
        <w:rPr>
          <w:sz w:val="24"/>
        </w:rPr>
        <w:t xml:space="preserve">При продаже предприятия должника - стратегических предприятия или организации, которое предназначено для осуществления деятельности, связанной с выполнением работ по государственному оборонному заказу, обеспечением федеральных государственных нужд в области поддержания обороноспособности и безопасности Российской Федерации, на торгах в форме конкурса федеральный орган исполнительной власти, обеспечивающий реализацию единой государственной политики в отрасли экономики, в которой осуществляет деятельность стратегические предприятие или организация, заключает с покупателем такого предприятия должника соглашение об исполнении условий конкурса. В случае существенного нарушения или неисполнения покупателем соглашения об исполнении условий конкурса эти соглашение и договор купли-продажи такого предприятия должника подлежат расторжению арбитражным судом по иску указанного федерального органа. В случае расторжения арбитражным судом указанных соглашения и договора купли-продажи такое предприятие должника подлежит передаче в федеральную собственность в порядке, установленном федеральным законом.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195</dc:title>
  <dc:creator>АРБИТРАЖ! · arbi.ru</dc:creator>
  <cp:lastModifiedBy>АРБИТРАЖ!</cp:lastModifiedBy>
  <dcterms:created xsi:type="dcterms:W3CDTF">2026-10-22T23:29:29.938Z</dcterms:created>
</cp:coreProperties>
</file>