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не вправе отказаться от исполнения договоров должника перед потребителями, в отношении которых в соответствии с федеральными законами и иными нормативными правовыми актами не допускается прекращение обязательств со стороны субъектов соответствующих естественных монополий.</w:t>
      </w:r>
    </w:p>
    <w:p>
      <w:pPr>
        <w:spacing w:after="120"/>
        <w:ind w:firstLine="709"/>
      </w:pPr>
      <w:r>
        <w:rPr>
          <w:sz w:val="24"/>
        </w:rPr>
        <w:t xml:space="preserve">2. Внешний управляющий не вправе отчуждать имущество должника, представляющее собой единый технологический комплекс субъекта естественной монополии. К указанному имуществу относится недвижимое и иное имущество, непосредственно используемое для производства и (или) реализации товаров (работ, услуг) в условиях естественной монополии, и запасы расходуемого сырья и материалов, которые используются для исполнения договоров, связанных с деятельностью должника в качестве субъекта естественной монополии.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200</dc:title>
  <dc:creator>АРБИТРАЖ! · arbi.ru</dc:creator>
  <cp:lastModifiedBy>АРБИТРАЖ!</cp:lastModifiedBy>
  <dcterms:created xsi:type="dcterms:W3CDTF">2026-10-23T00:20:45.222Z</dcterms:created>
</cp:coreProperties>
</file>