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201.2</w:t>
      </w:r>
    </w:p>
    <w:p>
      <w:pPr>
        <w:spacing w:after="120"/>
        <w:ind w:firstLine="709"/>
      </w:pPr>
      <w:r>
        <w:rPr>
          <w:sz w:val="24"/>
        </w:rPr>
        <w:t xml:space="preserve">- Участник долевого строительства (пайщик) хочет включить в реестр требование о передаче помещения или машино-места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Фонд является лицом, участвующим в деле о банкротстве застройщика, возбужденном до 25.12.2018, вне зависимости от факта уплаты застройщиком взносов в компенсационный фонд ( ФЗ от 27.06.2019 N 151-ФЗ).</w:t>
      </w:r>
    </w:p>
    <w:p>
      <w:pPr>
        <w:spacing w:after="120"/>
        <w:ind w:firstLine="709"/>
      </w:pPr>
      <w:r>
        <w:rPr>
          <w:sz w:val="24"/>
        </w:rPr>
        <w:t xml:space="preserve">1. Наряду с лицами, предусмотренными статьей 34 настоящего Федерального закона, лицами, участвующими в деле о банкротстве застройщика, признаются участники строительства, имеющие требования о передаче жилых помещений, требования о передаче машино-мест и нежилых помещений, а также уполномоченный орган исполнительной власти субъекта Российской Федерации, осуществляющий контроль и надзор в области долевого строительства многоквартирных домов и (или) иных объектов недвижимости на территории осуществления данного строительства, и Фонд.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Указанным в пункте 1 настоящей статьи органу власти и Фонду арбитражным судом направляются судебные акты, предусмотренные абзацами вторым и четвертым пункта 3 статьи 201.1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13.07.2020 N 202-ФЗ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201.2</dc:title>
  <dc:creator>АРБИТРАЖ! · arbi.ru</dc:creator>
  <cp:lastModifiedBy>АРБИТРАЖ!</cp:lastModifiedBy>
  <dcterms:created xsi:type="dcterms:W3CDTF">2026-10-22T14:09:23.787Z</dcterms:created>
</cp:coreProperties>
</file>