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реализации предмета залога - объекта строительства, принадлежащего застройщику на праве собственности, и земельного участка, принадлежащего застройщику на праве собственности или ином праве (в том числе аренды, субаренды), средства, вырученные от реализации указанных объектов и (или) прав на них, перечисляются покупателем на специальный банковский счет должника. Из зачисленных на этот счет средств:</w:t>
      </w:r>
    </w:p>
    <w:p>
      <w:pPr>
        <w:spacing w:after="120"/>
        <w:ind w:firstLine="709"/>
      </w:pPr>
      <w:r>
        <w:rPr>
          <w:sz w:val="24"/>
        </w:rPr>
        <w:t xml:space="preserve">1) шестьдесят процентов направляется на погашение требований кредиторов по обязательству, обеспеченному залогом указанных объектов и (или) прав на них должника, но не более чем основная сумма задолженности по обеспеченному залогом обязательству и причитающихся процентов, включая требования по обязательству, обеспеченному залогом по договору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недвижимости, в том числе приобретенные Фондом в результате осуществления выплаты возмещения гражданам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 в случае, предусмотренном пунктом 13 статьи 201.15-2-2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двадцать пять процентов направляется на погашение денежных требований граждан - участников строительства вне зависимости от того, являются ли эти граждане залогодержателями в отношении реализуемых объектов незавершенного строительства и земельного участка (в том числе в части реального ущерба, за исключением процентов и иных санкций), а также требований Фонда, указанных в абзаце третьем подпункта 3 пункта 1 статьи 201.9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13.07.2020 N 202-ФЗ)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отсутствия требований кредиторов по обязательству, обеспеченному залогом указанных объектов и (или) прав на них должника, восемьдесят пять процентов средств, вырученных от реализации указанных объектов и (или) прав на них, направляется на погашение денежных требований участников строительства (в том числе в части реального ущерба, за исключением процентов и иных санкций);</w:t>
      </w:r>
    </w:p>
    <w:p>
      <w:pPr>
        <w:spacing w:after="120"/>
        <w:ind w:firstLine="709"/>
      </w:pPr>
      <w:r>
        <w:rPr>
          <w:sz w:val="24"/>
        </w:rPr>
        <w:t xml:space="preserve">3) десять процентов направляется на погашение требований кредиторов первой и второй очереди в случае, если иного имущества застройщика недостаточно для погашения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4) оставшиеся денежные средства направляются на погашение требований кредиторов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08.08.2024 N 282-ФЗ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Денежные средства,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требований, направляются на погашение части денежных требований граждан - участников строительства и требований кредиторов, обеспеченных залогом соответствующего имущества застройщика, которая не погашена за счет стоимости указанного имущества в связи с удержанием части стоимости для погашения требований кредиторов первой и второй очереди в соответствии с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после полного погашения требований кредиторов по текущим платежам, направляются на погашение части денежных требований граждан - участников строительства и требований кредиторов, обеспеченных залогом соответствующего имущества застройщика, которая не погашена за счет стоимости указанного имущества в связи с удержанием части стоимости для погашения указанных расходов в соответствии с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08.08.2024 N 282-ФЗ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после полного погашения денежных требований граждан - участников строительства, требований кредиторов, обеспеченных залогом реализованного имущества застройщика, включаются в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3. Не удовлетворенные за счет стоимости реализованного имущества должника денежные требования граждан - участников строительства и требования по обязательствам, обеспеченным залогом имущества застройщика, удовлетворяются в составе требований кредиторов третьей и четвертой очереди соответственно.</w:t>
      </w:r>
    </w:p>
    <w:p>
      <w:pPr>
        <w:spacing w:after="120"/>
        <w:ind w:firstLine="709"/>
      </w:pPr>
      <w:r>
        <w:rPr>
          <w:sz w:val="24"/>
        </w:rPr>
        <w:t xml:space="preserve">4. Расходы на обеспечение сохранности предмета залога и реализацию его на торгах покрываются за счет средств, поступивших от реализации предмета залога, до расходования этих средств в соответствии с пунктами 1 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29.07.2017 N 218-ФЗ)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по обязательству, обеспеченному залогом указанных в пункте 1 настоящей статьи объектов и (или) прав на них должника, в случае,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эскроу, удовлетворяются в размере, установленном статьей 138 настоящего Федерального закона, путем списания банком на основании распоряжения конкурсного управляющего денежных средств с отдельного счета должника, открытого в соответствии с пунктом 7 статьи 201.12-2 настоящего Федерального закона, и выдачи их соответствующему кредитору или зачисления их на счет, указанный таким кредитором.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оставшиеся на отдельном счете должника после удовлетворения требований кредиторов, предусмотренных абзацем первым настоящего пункта, используются по правилам статьи 138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27.06.2019 N 151-ФЗ)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201.14</dc:title>
  <dc:creator>АРБИТРАЖ! · arbi.ru</dc:creator>
  <cp:lastModifiedBy>АРБИТРАЖ!</cp:lastModifiedBy>
  <dcterms:created xsi:type="dcterms:W3CDTF">2026-10-23T00:19:50.567Z</dcterms:created>
</cp:coreProperties>
</file>