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ходе процедур, применяемых в деле о банкротстве участника клиринга, для целей удовлетворения требований клиентов участника клиринга арбитражный управляющий или реестродержатель ведет реестр клиентов участника клиринга в порядке, предусмотренном статьей 185.3 настоящего Федерального закона для ведения реестра клиентов профессионального участника рынка ценных бумаг, управляющей компании, клиринговой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денежных средств, ценных бумаг и (или) иного имущества, оставшихся у клиринговой организации после исполнения нетто-обязательства из договоров, заключенных участником клиринга за счет клиента (клиентов), достаточно для удовлетворения требований клиентов, такие требования удовлетворяются в полном объеме.</w:t>
      </w:r>
    </w:p>
    <w:p>
      <w:pPr>
        <w:spacing w:after="120"/>
        <w:ind w:firstLine="709"/>
      </w:pPr>
      <w:r>
        <w:rPr>
          <w:sz w:val="24"/>
        </w:rPr>
        <w:t xml:space="preserve">3. В случае, если денежных средств, ценных бумаг и (или) иного имущества, оставшихся у клиринговой организации после исполнения нетто-обязательства из договоров, заключенных участником клиринга за счет клиента (клиентов), недостаточно для удовлетворения в полном объеме требований таких клиентов, это имущество передается в количестве, пропорциональном размеру требований клиентов.</w:t>
      </w:r>
    </w:p>
    <w:p>
      <w:pPr>
        <w:spacing w:after="120"/>
        <w:ind w:firstLine="709"/>
      </w:pPr>
      <w:r>
        <w:rPr>
          <w:sz w:val="24"/>
        </w:rPr>
        <w:t xml:space="preserve">4. Неудовлетворенные требования клиентов подлежат включению в реестр требований кредиторов и удовлетворяются в составе требований кредиторов третьей очереди.</w:t>
      </w:r>
    </w:p>
    <w:p>
      <w:pPr>
        <w:spacing w:after="120"/>
        <w:ind w:firstLine="709"/>
      </w:pPr>
      <w:r>
        <w:rPr>
          <w:sz w:val="24"/>
        </w:rPr>
        <w:t xml:space="preserve">5. Если по истечении шести месяцев с даты принятия арбитражным судом решения о признании участника клиринга банкротом и об открытии конкурсного производства имущество клиентов не было им передано, конкурсный управляющий передает такое имущество в депозит нотариуса.</w:t>
      </w:r>
    </w:p>
    <w:p/>
    <w:p>
      <w:pPr>
        <w:spacing w:after="120"/>
        <w:ind w:firstLine="709"/>
      </w:pPr>
      <w:r>
        <w:rPr>
          <w:sz w:val="24"/>
        </w:rPr>
        <w:t xml:space="preserve">§ 9. Особенности банкротства оператора информационной системы, цифрового депозитария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201.17</dc:title>
  <dc:creator>АРБИТРАЖ! · arbi.ru</dc:creator>
  <cp:lastModifiedBy>АРБИТРАЖ!</cp:lastModifiedBy>
  <dcterms:created xsi:type="dcterms:W3CDTF">2026-10-22T20:09:21.429Z</dcterms:created>
</cp:coreProperties>
</file>