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201.20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04.08.2026 N 283-ФЗ)</w:t>
      </w:r>
    </w:p>
    <w:p>
      <w:pPr>
        <w:spacing w:after="120"/>
        <w:ind w:firstLine="709"/>
      </w:pPr>
      <w:r>
        <w:rPr>
          <w:sz w:val="24"/>
        </w:rPr>
        <w:t xml:space="preserve">1.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назначенных в соответствии со статьей 201.18 настоящего Федерального закона, процедура наблюдения, предусмотренная настоящим Федеральным законом, не применяется.</w:t>
      </w:r>
    </w:p>
    <w:p>
      <w:pPr>
        <w:spacing w:after="120"/>
        <w:ind w:firstLine="709"/>
      </w:pPr>
      <w:r>
        <w:rPr>
          <w:sz w:val="24"/>
        </w:rPr>
        <w:t xml:space="preserve">2. В случае, если на дату вынесения арбитражным судом определения о признании требований заявителя обоснованными либо в ходе дальнейшего рассмотрения дела о банкротстве назначены временная администрация оператора информационной системы, временная администрация цифрового депозитария, арбитражный суд приостанавливает производство по делу о банкротстве оператора информационной системы, цифрового депозитария до момента обращения контрольного органа, временной администрации оператора информационной системы, временной администрации цифрового депозитария в арбитражный суд с заявлением о признании должника банкротом либо до прекращения деятельности временной администрации оператора информационной системы, временной администрации цифрового депозитария.</w:t>
      </w:r>
    </w:p>
    <w:p>
      <w:pPr>
        <w:spacing w:after="120"/>
        <w:ind w:firstLine="709"/>
      </w:pPr>
      <w:r>
        <w:rPr>
          <w:sz w:val="24"/>
        </w:rPr>
        <w:t xml:space="preserve">3. В период деятельности временной администрации оператора информационной системы, временной администрации цифрового депозитария в ходе процедур, применяемых в деле о банкротстве оператора информационной системы, цифрового депозитария, для целей удовлетворения требований клиентов временная администрация оператора информационной системы, временная администрация цифрового депозитария, Агентство или реестродержатель ведет реестр клиентов в порядке, предусмотренном статьей 185.3 настоящего Федерального закона для ведения реестра клиентов профессионального участника рынка ценных бумаг, управляющей компании, клиринговой организации.</w:t>
      </w:r>
    </w:p>
    <w:p>
      <w:pPr>
        <w:spacing w:after="120"/>
        <w:ind w:firstLine="709"/>
      </w:pPr>
      <w:r>
        <w:rPr>
          <w:sz w:val="24"/>
        </w:rPr>
        <w:t xml:space="preserve">4. В случае, если имущества клиентов, находящегося на счетах оператора информационной системы, цифрового депозитария, достаточно для удовлетворения требований клиентов, такие требования удовлетворяются в полном объеме.</w:t>
      </w:r>
    </w:p>
    <w:p>
      <w:pPr>
        <w:spacing w:after="120"/>
        <w:ind w:firstLine="709"/>
      </w:pPr>
      <w:r>
        <w:rPr>
          <w:sz w:val="24"/>
        </w:rPr>
        <w:t xml:space="preserve">Если имущество нескольких клиентов объединено на одном специальном депозитарном счете цифрового депозитария, номинальном счете оператора информационной системы, специальном счете оператора информационной системы и этого имущества недостаточно для удовлетворения в полном объеме требований клиентов о передаче всего принадлежащего им имущества, это имущество передается клиентам в размере, пропорциональном размеру указанных требований.</w:t>
      </w:r>
    </w:p>
    <w:p>
      <w:pPr>
        <w:spacing w:after="120"/>
        <w:ind w:firstLine="709"/>
      </w:pPr>
      <w:r>
        <w:rPr>
          <w:sz w:val="24"/>
        </w:rPr>
        <w:t xml:space="preserve">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pPr>
        <w:spacing w:after="120"/>
        <w:ind w:firstLine="709"/>
      </w:pPr>
      <w:r>
        <w:rPr>
          <w:sz w:val="24"/>
        </w:rPr>
        <w:t xml:space="preserve">5. В конкурсную массу оператора информационной системы, цифрового депозитария не включается имущество их клиентов, находящееся на специальном счете оператора информационной системы и номинальном счете оператора информационной системы, специальном депозитарном счете цифрового депозитария.</w:t>
      </w:r>
    </w:p>
    <w:p>
      <w:pPr>
        <w:spacing w:after="120"/>
        <w:ind w:firstLine="709"/>
      </w:pPr>
      <w:r>
        <w:rPr>
          <w:sz w:val="24"/>
        </w:rPr>
        <w:t xml:space="preserve">6. В случае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договоров с клиентами конкурсный управляющий:</w:t>
      </w:r>
    </w:p>
    <w:p>
      <w:pPr>
        <w:spacing w:after="120"/>
        <w:ind w:firstLine="709"/>
      </w:pPr>
      <w:r>
        <w:rPr>
          <w:sz w:val="24"/>
        </w:rPr>
        <w:t xml:space="preserve">1) исполняет обязательства (принимает исполнение) по сделкам, заключенным за счет клиента до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w:t>
      </w:r>
    </w:p>
    <w:p>
      <w:pPr>
        <w:spacing w:after="120"/>
        <w:ind w:firstLine="709"/>
      </w:pPr>
      <w:r>
        <w:rPr>
          <w:sz w:val="24"/>
        </w:rPr>
        <w:t xml:space="preserve">2) передает клиентам оставшееся имущество клиентов.</w:t>
      </w:r>
    </w:p>
    <w:p>
      <w:pPr>
        <w:spacing w:after="120"/>
        <w:ind w:firstLine="709"/>
      </w:pPr>
      <w:r>
        <w:rPr>
          <w:sz w:val="24"/>
        </w:rPr>
        <w:t xml:space="preserve">7. Конкурсный управляющий в случае имеющейся задолженности клиентов перед оператором информационной системы, цифровым депозитарием удерживает вознаграждение и иные платежи, причитающиеся оператору информационной системы, цифровому депозитарию,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оператора информационной системы, цифрового депозитария, либо вправе продать это имущество по правилам, установленным статьей 185.7 настоящего Федерального закона.</w:t>
      </w:r>
    </w:p>
    <w:p>
      <w:pPr>
        <w:spacing w:after="120"/>
        <w:ind w:firstLine="709"/>
      </w:pPr>
      <w:r>
        <w:rPr>
          <w:sz w:val="24"/>
        </w:rPr>
        <w:t xml:space="preserve">8. Если имущество нескольких клиентов объединено на одном специальном депозитарном счете цифрового депозитария, номинальном счете оператора информационной системы, специальном счете оператора информационной системы и этого имущества недостаточно для удовлетворения в полном объеме требований клиентов о передаче всего принадлежащего им имущества, это имущество передается клиентам в размере, пропорциональном размеру указанных требований.</w:t>
      </w:r>
    </w:p>
    <w:p>
      <w:pPr>
        <w:spacing w:after="120"/>
        <w:ind w:firstLine="709"/>
      </w:pPr>
      <w:r>
        <w:rPr>
          <w:sz w:val="24"/>
        </w:rPr>
        <w:t xml:space="preserve">9. Если по истечении шести месяцев с даты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 имущество клиентов не было передано клиентам, конкурсный управляющий передает это имущество в депозит нотариуса.</w:t>
      </w:r>
    </w:p>
    <w:p>
      <w:pPr>
        <w:spacing w:after="120"/>
        <w:ind w:firstLine="709"/>
      </w:pPr>
      <w:r>
        <w:rPr>
          <w:sz w:val="24"/>
        </w:rPr>
        <w:t xml:space="preserve">10.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назначенных в соответствии со статьей 201.18 настоящего Федерального закона, полномочия конкурсного управляющего в деле о банкротстве оператора информационной системы, цифрового депозитария в силу закона осуществляет Агентство.</w:t>
      </w:r>
    </w:p>
    <w:p>
      <w:pPr>
        <w:spacing w:after="120"/>
        <w:ind w:firstLine="709"/>
      </w:pPr>
      <w:r>
        <w:rPr>
          <w:sz w:val="24"/>
        </w:rPr>
        <w:t xml:space="preserve">11. В решении арбитражного суда о признании банкротом оператора информационной системы, цифрового депозитария и об открытии в отношении их конкурсного производства указываются наименование Агентства и его адрес для направления корреспонденции.</w:t>
      </w:r>
    </w:p>
    <w:p>
      <w:pPr>
        <w:spacing w:after="120"/>
        <w:ind w:firstLine="709"/>
      </w:pPr>
      <w:r>
        <w:rPr>
          <w:sz w:val="24"/>
        </w:rPr>
        <w:t xml:space="preserve">12. За осуществление полномочий конкурсного управляющего Агентству вознаграждение не выплачивается.</w:t>
      </w:r>
    </w:p>
    <w:p>
      <w:pPr>
        <w:spacing w:after="120"/>
        <w:ind w:firstLine="709"/>
      </w:pPr>
      <w:r>
        <w:rPr>
          <w:sz w:val="24"/>
        </w:rPr>
        <w:t xml:space="preserve">13.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pPr>
        <w:spacing w:after="120"/>
        <w:ind w:firstLine="709"/>
      </w:pPr>
      <w:r>
        <w:rPr>
          <w:sz w:val="24"/>
        </w:rPr>
        <w:t xml:space="preserve">14.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своих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своих обязанностей при условии, что неисполнение или ненадлежащее исполнение им своих обязанностей нарушило права или законные интересы заявителя жалобы либо повлекло за собой убытки для оператора информационной системы, цифрового депозитария или его кредиторов.</w:t>
      </w:r>
    </w:p>
    <w:p>
      <w:pPr>
        <w:spacing w:after="120"/>
        <w:ind w:firstLine="709"/>
      </w:pPr>
      <w:r>
        <w:rPr>
          <w:sz w:val="24"/>
        </w:rPr>
        <w:t xml:space="preserve">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pPr>
        <w:spacing w:after="120"/>
        <w:ind w:firstLine="709"/>
      </w:pPr>
      <w:r>
        <w:rPr>
          <w:sz w:val="24"/>
        </w:rPr>
        <w:t xml:space="preserve">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таких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spacing w:after="120"/>
        <w:ind w:firstLine="709"/>
      </w:pPr>
      <w:r>
        <w:rPr>
          <w:sz w:val="24"/>
        </w:rPr>
        <w:t xml:space="preserve">Для обеспечения исполнения возложенных на конкурсного управляющего обязанностей в деле о банкротстве оператора информационной системы, цифрового депозитария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оператора информационной системы, цифрового депозитария, а также осуществлять иные текущие расходы, связанные с осуществлением своих полномочий, в размере, установленном сметой текущих расходов оператора информационной системы, цифрового депозитария.</w:t>
      </w:r>
    </w:p>
    <w:p>
      <w:pPr>
        <w:spacing w:after="120"/>
        <w:ind w:firstLine="709"/>
      </w:pPr>
      <w:r>
        <w:rPr>
          <w:sz w:val="24"/>
        </w:rPr>
        <w:t xml:space="preserve">Конкурсный управляющий осуществляет в порядке, установленном статьей 201.18 настоящего Федерального закона, возврат клиентам оператора информационной системы, цифрового депозитария принадлежащих им ценных бумаг, денежных средств и иного имущества, которые поступили от указанных клиентов и (или) были приобретены за их счет.</w:t>
      </w:r>
    </w:p>
    <w:p>
      <w:pPr>
        <w:spacing w:after="120"/>
        <w:ind w:firstLine="709"/>
      </w:pPr>
      <w:r>
        <w:rPr>
          <w:sz w:val="24"/>
        </w:rPr>
        <w:t xml:space="preserve">15. Конкурсный управляющий отчитывается перед Банком России в сроки и порядке, которые установлены Банком России. Банк России вправе проводить проверки деятельности конкурсного управляющего.</w:t>
      </w:r>
    </w:p>
    <w:p>
      <w:pPr>
        <w:spacing w:after="120"/>
        <w:ind w:firstLine="709"/>
      </w:pPr>
      <w:r>
        <w:rPr>
          <w:sz w:val="24"/>
        </w:rPr>
        <w:t xml:space="preserve">16. Банк России:</w:t>
      </w:r>
    </w:p>
    <w:p>
      <w:pPr>
        <w:spacing w:after="120"/>
        <w:ind w:firstLine="709"/>
      </w:pPr>
      <w:r>
        <w:rPr>
          <w:sz w:val="24"/>
        </w:rPr>
        <w:t xml:space="preserve">1) устанавливает порядок и сроки направления в контрольный орган копии отчета о деятельности конкурсного управляющего, составляемого в соответствии со статьей 143 настоящего Федерального закона;</w:t>
      </w:r>
    </w:p>
    <w:p>
      <w:pPr>
        <w:spacing w:after="120"/>
        <w:ind w:firstLine="709"/>
      </w:pPr>
      <w:r>
        <w:rPr>
          <w:sz w:val="24"/>
        </w:rPr>
        <w:t xml:space="preserve">2) устанавливает порядок представления конкурсным управляющим в контрольный орган бухгалтерской (финансовой) и статистической отчетности оператора информационной системы, цифрового депозитария, а также информации о ходе конкурсного производства, в том числе отчета об использовании денежных средств должника, по запросу Банка России;</w:t>
      </w:r>
    </w:p>
    <w:p>
      <w:pPr>
        <w:spacing w:after="120"/>
        <w:ind w:firstLine="709"/>
      </w:pPr>
      <w:r>
        <w:rPr>
          <w:sz w:val="24"/>
        </w:rPr>
        <w:t xml:space="preserve">3) устанавливает случаи, порядок и сроки проведения проверок деятельности конкурсного управляющего оператора информационной системы, конкурсного управляющего цифрового депозитария, а также случаи приостановления, возобновления и прекращения таких проверок, составления акта о противодействии их проведению и порядок взаимодействия с конкурсным управляющим оператора информационной системы, конкурсным управляющим цифрового депозитария.</w:t>
      </w:r>
    </w:p>
    <w:p>
      <w:pPr>
        <w:spacing w:after="120"/>
        <w:ind w:firstLine="709"/>
      </w:pPr>
      <w:r>
        <w:rPr>
          <w:sz w:val="24"/>
        </w:rPr>
        <w:t xml:space="preserve">17. Банк России направляет конкурсному управляющему оператора информационной системы, конкурсному управляющему цифрового 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w:t>
      </w:r>
    </w:p>
    <w:p>
      <w:pPr>
        <w:spacing w:after="120"/>
        <w:ind w:firstLine="709"/>
      </w:pPr>
      <w:r>
        <w:rPr>
          <w:sz w:val="24"/>
        </w:rPr>
        <w:t xml:space="preserve">18. В случае выявления Банком России нарушений при осуществлении Агентством полномочий конкурсного управляющего Агентство обязано в течение десяти рабочих дней со дня получения от Банка России предписания, указанного в пункте 17 настоящей статьи, принять меры по устранению выявленных нарушений и уведомить об этом Банк России.</w:t>
      </w:r>
    </w:p>
    <w:p>
      <w:pPr>
        <w:spacing w:after="120"/>
        <w:ind w:firstLine="709"/>
      </w:pPr>
      <w:r>
        <w:rPr>
          <w:sz w:val="24"/>
        </w:rPr>
        <w:t xml:space="preserve">В случае неисполнения Агентством предписания, указанного в пункте 17 настоящей статьи, Агентство по требованию Банка России обязано заменить представителя Агентства, осуществляющего от его имени функции конкурсного управляющего.</w:t>
      </w:r>
    </w:p>
    <w:p>
      <w:pPr>
        <w:spacing w:after="120"/>
        <w:ind w:firstLine="709"/>
      </w:pPr>
      <w:r>
        <w:rPr>
          <w:sz w:val="24"/>
        </w:rPr>
        <w:t xml:space="preserve">Убытки, причиненные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подлежат возмещению за счет Агентства.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201.20</dc:title>
  <dc:creator>АРБИТРАЖ! · arbi.ru</dc:creator>
  <cp:lastModifiedBy>АРБИТРАЖ!</cp:lastModifiedBy>
  <dcterms:created xsi:type="dcterms:W3CDTF">2026-10-22T22:33:52.116Z</dcterms:created>
</cp:coreProperties>
</file>