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настоящего Федерального закона под текущими платежами оператора информационной системы, цифрового депозитария понимаются:</w:t>
      </w:r>
    </w:p>
    <w:p>
      <w:pPr>
        <w:spacing w:after="120"/>
        <w:ind w:firstLine="709"/>
      </w:pPr>
      <w:r>
        <w:rPr>
          <w:sz w:val="24"/>
        </w:rPr>
        <w:t xml:space="preserve">1) обязанности по оплате задолженности, образовавшейся с даты утверждения конкурсного управляющего оператора информационной системы, конкурсного управляющего цифрового депозитария, за произведенные работы (оказанные услуги), связанные с продолжением функционирования оператора информационной системы, цифрового депозитария, в пределах сметы текущих расходов, утвержденной в соответствии с настоящей статьей;</w:t>
      </w:r>
    </w:p>
    <w:p>
      <w:pPr>
        <w:spacing w:after="120"/>
        <w:ind w:firstLine="709"/>
      </w:pPr>
      <w:r>
        <w:rPr>
          <w:sz w:val="24"/>
        </w:rPr>
        <w:t xml:space="preserve">2) денежные обязательства, возникшие с даты утверждения конкурсного управляющего оператора информационной системы, конкурсного управляющего цифрового депозитария до дня завершения конкурсного производства, в том числе:</w:t>
      </w:r>
    </w:p>
    <w:p>
      <w:pPr>
        <w:spacing w:after="120"/>
        <w:ind w:firstLine="709"/>
      </w:pPr>
      <w:r>
        <w:rPr>
          <w:sz w:val="24"/>
        </w:rPr>
        <w:t xml:space="preserve">обязательства по оплате расходов, связанных с продолжением функционирования оператора информационной системы, цифрового депозитария, включая оплату труда лиц, работающих по трудовому договору, выплату выходных пособий этим лицам в случае их увольнения, с учетом особенностей, установленных пунктом 2.1 статьи 134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судебные расходы оператора информационной системы, цифрового депозитария, расходы на включение сведений в Единый федеральный реестр сведений о банкротстве и опубликование сообщений, предусмотренных настоящим Федеральным законом, а также иные вытекающие из настоящего Федерального закона расходы, связанные с проведением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3) обязанности по уплате обязательных платежей, возникшие с даты назначения временной администрации оператора информационной системы, временной администрации цифрового депозитария до даты введения конкурсного производства, а также в ходе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4) обязанности по удержанию денежных средств из заработной платы работников оператора информационной системы, цифрового депозитария, выплаченной в связи с исполнением обязанностей, указанных в подпункте 1 настоящего пункта, а также обязанности по перечислению сумм таких удержаний в соответствии с законодательством Российской Федерации (алименты, налог на доходы физических лиц, профсоюзные взносы и иные платежи, возложенные на работодателя в соответствии с федеральным законом).</w:t>
      </w:r>
    </w:p>
    <w:p>
      <w:pPr>
        <w:spacing w:after="120"/>
        <w:ind w:firstLine="709"/>
      </w:pPr>
      <w:r>
        <w:rPr>
          <w:sz w:val="24"/>
        </w:rPr>
        <w:t xml:space="preserve">2. Расходы на осуществление текущих платежей оператора информационной системы, цифрового депозитария включаются в смету текущих расходов оператора информационной системы, цифрового депозитария, осуществляются соответствующими временной администрацией, конкурсным управляющим на основании такой сметы и покрываются за счет имущества оператора информационной системы, цифрового депозитария.</w:t>
      </w:r>
    </w:p>
    <w:p>
      <w:pPr>
        <w:spacing w:after="120"/>
        <w:ind w:firstLine="709"/>
      </w:pPr>
      <w:r>
        <w:rPr>
          <w:sz w:val="24"/>
        </w:rPr>
        <w:t xml:space="preserve">3. Смета текущих расходов, осуществляемых в период конкурсного производства до утверждения сметы текущих расходов собранием кредиторов, а в случае, если собранием кредиторов образован комитет кредиторов, комитетом кредиторов по представлению конкурсного управляющего или арбитражным судом, утверждается Агентством в порядке, установленном Агентством по согласованию с контрольным органом, а предельный размер текущих расходов Банком России.</w:t>
      </w:r>
    </w:p>
    <w:p>
      <w:pPr>
        <w:spacing w:after="120"/>
        <w:ind w:firstLine="709"/>
      </w:pPr>
      <w:r>
        <w:rPr>
          <w:sz w:val="24"/>
        </w:rPr>
        <w:t xml:space="preserve">4. Смета текущих расходов оператора информационной системы, цифрового депозитария в части расходов, осуществляемых после проведения первого собрания кредиторов, подлежит утверждению (изменению) собранием кредиторов, а в случае, если собранием кредиторов образован комитет кредиторов, комитетом кредиторов по представлению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Смета текущих расходов должна быть представлена для утверждения первому собранию кредиторов, а в случае, если собранием кредиторов образован комитет кредиторов, комитету кредиторов не позднее чем в течение трех рабочих дней со дня образования комитета кредиторов. В случае неутверждения (отказа в утверждении) собранием кредиторов или комитетом кредиторов сметы текущих расходов оператора информационной системы, цифрового депозитария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кредиторов. По итогам рассмотрения возникших разногласий арбитражный суд утверждает смету текущих расходов оператора информационной системы, цифрового депозитария, осуществляемых после вынесения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5. Смета текущих расходов оператора информационной системы, цифрового депозитария, утвержденная собранием кредиторов, или комитетом кредиторов, или арбитражным судом в порядке, установленном пунктом 4 настоящей статьи, может быть изменена собранием кредиторов или комитетом кредиторов по представлению конкурсного управляющего, а при наличии разногласий между ними по вопросу внесения изменений в указанную смету арбитражным судом в порядке, установленном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До утверждения (изменения) сметы текущих расходов оператора информационной системы, цифрового депозитария собранием кредиторов, или комитетом кредиторов, или арбитражным судом в порядке, установленном пунктами 4 и 5 настоящей статьи, действует смета текущих расходов оператора информационной системы, цифрового депозитария, утвержденная (измененная) конкурсным управляющим.</w:t>
      </w:r>
    </w:p>
    <w:p/>
    <w:p>
      <w:pPr>
        <w:spacing w:after="120"/>
        <w:ind w:firstLine="709"/>
      </w:pPr>
      <w:r>
        <w:rPr>
          <w:sz w:val="24"/>
        </w:rPr>
        <w:t xml:space="preserve">§ 1.1. Реструктуризация долгов гражданина и реализация имущества гражданина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201.21</dc:title>
  <dc:creator>АРБИТРАЖ! · arbi.ru</dc:creator>
  <cp:lastModifiedBy>АРБИТРАЖ!</cp:lastModifiedBy>
  <dcterms:created xsi:type="dcterms:W3CDTF">2026-10-22T20:18:01.161Z</dcterms:created>
</cp:coreProperties>
</file>