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213.16</w:t>
      </w:r>
    </w:p>
    <w:p>
      <w:pPr>
        <w:spacing w:after="120"/>
        <w:ind w:firstLine="709"/>
      </w:pPr>
      <w:r>
        <w:rPr>
          <w:sz w:val="24"/>
        </w:rPr>
        <w:t xml:space="preserve">- Гражданин (ИП) хочет признать себя банкротом, ввести процедуру реализации имущества</w:t>
      </w:r>
    </w:p>
    <w:p>
      <w:pPr>
        <w:spacing w:after="120"/>
        <w:ind w:firstLine="709"/>
      </w:pPr>
      <w:r>
        <w:rPr>
          <w:sz w:val="24"/>
        </w:rPr>
        <w:t xml:space="preserve">Решение собрания кредиторов об одобрении проекта плана реструктуризации долгов гражданина принимается большинством голосов от общего числа голосов конкурсных кредиторов и уполномоченных органов, требования которых включены в реестр требований кредиторов.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213.16</dc:title>
  <dc:creator>АРБИТРАЖ! · arbi.ru</dc:creator>
  <cp:lastModifiedBy>АРБИТРАЖ!</cp:lastModifiedBy>
  <dcterms:created xsi:type="dcterms:W3CDTF">2026-10-22T23:30:24.442Z</dcterms:created>
</cp:coreProperties>
</file>