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213.32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заключенные без согласия управляющего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совершенные со злоупотреблением правом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влекущие оказание предпочтения одному из кредиторов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совершенные в целях причинения вреда имущественным правам кредиторов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совершенные при неравноценном встречном исполнении</w:t>
      </w:r>
    </w:p>
    <w:p>
      <w:pPr>
        <w:spacing w:after="120"/>
        <w:ind w:firstLine="709"/>
      </w:pPr>
      <w:r>
        <w:rPr>
          <w:sz w:val="24"/>
        </w:rPr>
        <w:t xml:space="preserve">1. Заявление об оспаривании сделки должника-гражданина по основаниям, предусмотренным статьей 61.2 или 61.3 настоящего Федерального закона, может быть подано финансовым управляющим по своей инициативе либо по решению собрания кредиторов или комитета кредиторов, а также конкурсным кредитором или уполномоченным органом, если размер его кредиторской задолженности, включенной в реестр требований кредиторов, составляет более десяти процентов общего размера кредиторской задолженности, включенной в реестр требований кредиторов, не считая размера требований кредитора, в отношении которого сделка оспаривается, и его заинтересованных лиц .</w:t>
      </w:r>
    </w:p>
    <w:p>
      <w:pPr>
        <w:spacing w:after="120"/>
        <w:ind w:firstLine="709"/>
      </w:pPr>
      <w:r>
        <w:rPr>
          <w:sz w:val="24"/>
        </w:rPr>
        <w:t xml:space="preserve">2. Право на подачу заявления об оспаривании сделки должника-гражданина по указанным в статье 61.2 или 61.3 настоящего Федерального закона основаниям возникает с даты введения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При этом срок исковой давности исчисляется с момента, когда финансовый управляющий узнал или должен был узнать о наличии указанных в статье 61.2 или 61.3 настоящего Федерального закона оснований.</w:t>
      </w:r>
    </w:p>
    <w:p>
      <w:pPr>
        <w:spacing w:after="120"/>
        <w:ind w:firstLine="709"/>
      </w:pPr>
      <w:r>
        <w:rPr>
          <w:sz w:val="24"/>
        </w:rPr>
        <w:t xml:space="preserve">3. Заявление об оспаривании сделки должника-гражданина по указанным в статье 61.2 или 61.3 настоящего Федерального закона основаниям подается в арбитражный суд, рассматривающий дело о банкротстве гражданина, и подлежит рассмотрению в деле о банкротстве гражданина независимо от состава лиц, участвующих в данной сделке.</w:t>
      </w:r>
    </w:p>
    <w:p>
      <w:pPr>
        <w:spacing w:after="120"/>
        <w:ind w:firstLine="709"/>
      </w:pPr>
      <w:r>
        <w:rPr>
          <w:sz w:val="24"/>
        </w:rPr>
        <w:t xml:space="preserve">4. Оспариванию в рамках дела о банкротстве гражданина подлежат также сделки, совершенные супругом должника-гражданина в отношении имущества супругов, по основаниям, предусмотренным семейным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5. К участию в рассмотрении в деле о банкротстве гражданина заявления об оспаривании сделки должника-гражданина, затрагивающей права несовершеннолетнего лица или права лица, признанного судом недееспособным, привлекается орган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об оспаривании сделки должника-гражданина арбитражный суд выносит одно из определений, указанных в пункте 6 статьи 61.8 настоящего Федерального закона, при наличии заключения органа опеки и попечительства об оценке последствий признания сделки недействительной, в том числе о возможном ухудшении положения прав несовершеннолетнего лица или прав лица, признанного судом недееспособным.</w:t>
      </w:r>
    </w:p>
    <w:p/>
    <w:p>
      <w:pPr>
        <w:spacing w:after="120"/>
        <w:ind w:firstLine="709"/>
      </w:pPr>
      <w:r>
        <w:rPr>
          <w:sz w:val="24"/>
        </w:rPr>
        <w:t xml:space="preserve">§ 2. Особенности банкротства индивидуальных предпринимателей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213.32</dc:title>
  <dc:creator>АРБИТРАЖ! · arbi.ru</dc:creator>
  <cp:lastModifiedBy>АРБИТРАЖ!</cp:lastModifiedBy>
  <dcterms:created xsi:type="dcterms:W3CDTF">2026-10-22T22:32:24.011Z</dcterms:created>
</cp:coreProperties>
</file>