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214.1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Для применения ст. 214.1 достаточно наличия статуса ИП независимо от связи обязательств, неисполнением которых обусловлено возбуждение дела о банкротстве, с осуществлением предпринимательства ( абз. 2 п. 2 Постановления Пленума Верховного Суда РФ от 13.10.2015 N 45).</w:t>
      </w:r>
    </w:p>
    <w:p>
      <w:pPr>
        <w:spacing w:after="120"/>
        <w:ind w:firstLine="709"/>
      </w:pPr>
      <w:r>
        <w:rPr>
          <w:sz w:val="24"/>
        </w:rPr>
        <w:t xml:space="preserve">К отношениям, связанным с банкротством индивидуальных предпринимателей, применяются правила, установленные параграфами 1.1 , 4 главы X настоящего Федерального закона, с учетом особенностей, установленных настоящим параграфом.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214.1</dc:title>
  <dc:creator>АРБИТРАЖ! · arbi.ru</dc:creator>
  <cp:lastModifiedBy>АРБИТРАЖ!</cp:lastModifiedBy>
  <dcterms:created xsi:type="dcterms:W3CDTF">2026-10-22T23:05:12.359Z</dcterms:created>
</cp:coreProperties>
</file>