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Главой крестьянского (фермерского) хозяйства в течение двух месяцев с момента вынесения арбитражным судом определения о введении в отношении крестьянского (фермерского) хозяйства наблюдения могут быть представлены в арбитражный суд план финансового оздоровления и график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осуществление мероприятий, предусмотренных планом финансового оздоровления, позволит крестьянскому (фермерскому) хозяйству, в том числе за счет доходов, которые могут быть получены крестьянским (фермерским) хозяйством по окончании соответствующего периода сельскохозяйственных работ, погасить требования кредиторов по денежным обязательствам и об уплате обязательных платежей в соответствии с графиком погашения задолженности, арбитражным судом вводится финансовое оздоровление крестьянского (фермерского) хозяйства.</w:t>
      </w:r>
    </w:p>
    <w:p>
      <w:pPr>
        <w:spacing w:after="120"/>
        <w:ind w:firstLine="709"/>
      </w:pPr>
      <w:r>
        <w:rPr>
          <w:sz w:val="24"/>
        </w:rPr>
        <w:t xml:space="preserve">О введении финансового оздоровления крестьянского (фермерского) хозяйства арбитражным судом выносится определение, которое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3. Финансовое оздоровление крестьянского (фермерского) хозяйства вводится до окончания соответствующего периода сельскохозяйственных работ с учетом времени, необходимого для реализации произведенной или произведенной и переработанной сельскохозяйственной продукции.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в течение финансового оздоровления имели место спад и ухудшение финансового состояния крестьянского (фермерского) хозяйства в связи со стихийными бедствиями, с эпизоотиями или другими обстоятельствами, носящими чрезвычайный характер, срок финансового оздоровления может быть продлен на год при условии изменения графика погашения задолженности в порядке, предусмотренном статьей 85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На основании решения собрания кредиторов в случае наличия возможности восстановления платежеспособности крестьянского (фермерского) хозяйства арбитражным судом вводится внешнее управление.</w:t>
      </w:r>
    </w:p>
    <w:p>
      <w:pPr>
        <w:spacing w:after="120"/>
        <w:ind w:firstLine="709"/>
      </w:pPr>
      <w:r>
        <w:rPr>
          <w:sz w:val="24"/>
        </w:rPr>
        <w:t xml:space="preserve">Внешнее управление крестьянским (фермерским) хозяйством вводится до окончания соответствующего периода сельскохозяйственных работ с учетом времени, необходимого для реализации произведенной или произведенной и переработанной сельскохозяйственной продукции. Срок внешнего управления не может превышать сроки, установленные пунктом 2 статьи 92 настоящего Федерального закона, более чем на три месяца.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ходе внешнего управления имели место спад и ухудшение финансового состояния крестьянского (фермерского) хозяйства в связи со стихийными бедствиями, с эпизоотиями и другими обстоятельствами, носящими чрезвычайный характер, срок внешнего управления может быть продлен на год.</w:t>
      </w:r>
    </w:p>
    <w:p>
      <w:pPr>
        <w:spacing w:after="120"/>
        <w:ind w:firstLine="709"/>
      </w:pPr>
      <w:r>
        <w:rPr>
          <w:sz w:val="24"/>
        </w:rPr>
        <w:t xml:space="preserve">5. Внешнее управление крестьянским (фермерским) хозяйством может быть досрочно прекращено арбитражным судом на основании заявления внешнего управляющего или любого из кредиторов в случае:</w:t>
      </w:r>
    </w:p>
    <w:p>
      <w:pPr>
        <w:spacing w:after="120"/>
        <w:ind w:firstLine="709"/>
      </w:pPr>
      <w:r>
        <w:rPr>
          <w:sz w:val="24"/>
        </w:rPr>
        <w:t xml:space="preserve">невыполнения мероприятий, предусмотренных планом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наличия иных свидетельствующих о невозможности восстановления платежеспособности крестьянского (фермерского) хозяйства обстоятельств.</w:t>
      </w:r>
    </w:p>
    <w:p>
      <w:pPr>
        <w:spacing w:after="120"/>
        <w:ind w:firstLine="709"/>
      </w:pPr>
      <w:r>
        <w:rPr>
          <w:sz w:val="24"/>
        </w:rPr>
        <w:t xml:space="preserve">Досрочное прекращение внешнего управления крестьянским (фермерским) хозяйством влечет за собой признание его банкротом и открытие конкурсного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219</dc:title>
  <dc:creator>АРБИТРАЖ! · arbi.ru</dc:creator>
  <cp:lastModifiedBy>АРБИТРАЖ!</cp:lastModifiedBy>
  <dcterms:created xsi:type="dcterms:W3CDTF">2026-10-22T22:34:27.667Z</dcterms:created>
</cp:coreProperties>
</file>