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проведения внешнего управления крестьянским (фермерским) хозяйством арбитражным судом утверждается внешний управляющий.</w:t>
      </w:r>
    </w:p>
    <w:p>
      <w:pPr>
        <w:spacing w:after="120"/>
        <w:ind w:firstLine="709"/>
      </w:pPr>
      <w:r>
        <w:rPr>
          <w:sz w:val="24"/>
        </w:rPr>
        <w:t xml:space="preserve">2. Внешним управляющим может быть утверждено лицо, не соответствующее требованиям, предъявляемым настоящим Федеральным законом к арбитражным управляющим.</w:t>
      </w:r>
    </w:p>
    <w:p>
      <w:pPr>
        <w:spacing w:after="120"/>
        <w:ind w:firstLine="709"/>
      </w:pPr>
      <w:r>
        <w:rPr>
          <w:sz w:val="24"/>
        </w:rPr>
        <w:t xml:space="preserve">3. Полномочия внешнего управляющего могут осуществляться главой крестьянского (фермерского) хозяйства с согласия внешнего управляющего.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220</dc:title>
  <dc:creator>АРБИТРАЖ! · arbi.ru</dc:creator>
  <cp:lastModifiedBy>АРБИТРАЖ!</cp:lastModifiedBy>
  <dcterms:created xsi:type="dcterms:W3CDTF">2026-10-22T20:17:17.531Z</dcterms:created>
</cp:coreProperties>
</file>