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224</w:t>
      </w:r>
    </w:p>
    <w:p>
      <w:pPr>
        <w:spacing w:after="120"/>
        <w:ind w:firstLine="709"/>
      </w:pPr>
      <w:r>
        <w:rPr>
          <w:sz w:val="24"/>
        </w:rPr>
        <w:t xml:space="preserve">- Кредитор хочет признать ликвидируемого должника банкротом</w:t>
      </w:r>
    </w:p>
    <w:p>
      <w:pPr>
        <w:spacing w:after="120"/>
        <w:ind w:firstLine="709"/>
      </w:pPr>
      <w:r>
        <w:rPr>
          <w:sz w:val="24"/>
        </w:rPr>
        <w:t xml:space="preserve">1. В случае, если стоимость имущества должника - юридического лица, в отношении которого принято решение о ликвидации, недостаточна для удовлетворения требований кредиторов, такое юридическое лицо ликвидируется в порядке, предусмотренном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При обнаружении обстоятельств, предусмотренных пунктом 1 настоящей статьи, ликвидационная комиссия (ликвидатор) обязана обратиться в арбитражный суд с заявлением о признании должника банкротом.</w:t>
      </w:r>
    </w:p>
    <w:p>
      <w:pPr>
        <w:spacing w:after="120"/>
        <w:ind w:firstLine="709"/>
      </w:pPr>
      <w:r>
        <w:rPr>
          <w:sz w:val="24"/>
        </w:rPr>
        <w:t xml:space="preserve">3. При обнаружении обстоятельств, предусмотренных пунктом 1 настоящей статьи, после принятия решения о ликвидации юридического лица и до создания ликвидационной комиссии (назначения ликвидатора) заявление о признании должника банкротом должно быть подано в арбитражный суд собственником имущества должника - унитарного предприятия, учредителем (участником) должника или руководителем должника.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224</dc:title>
  <dc:creator>АРБИТРАЖ! · arbi.ru</dc:creator>
  <cp:lastModifiedBy>АРБИТРАЖ!</cp:lastModifiedBy>
  <dcterms:created xsi:type="dcterms:W3CDTF">2026-10-22T20:20:37.627Z</dcterms:created>
</cp:coreProperties>
</file>