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230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230</w:t>
      </w:r>
    </w:p>
    <w:p>
      <w:pPr>
        <w:spacing w:after="120"/>
        <w:ind w:firstLine="709"/>
      </w:pPr>
      <w:r>
        <w:rPr>
          <w:sz w:val="24"/>
        </w:rPr>
        <w:t xml:space="preserve">- Конкурсный кредитор (уполномоченный орган) хочет признать отсутствующего должника банкротом</w:t>
      </w:r>
    </w:p>
    <w:p>
      <w:pPr>
        <w:spacing w:after="120"/>
        <w:ind w:firstLine="709"/>
      </w:pPr>
      <w:r>
        <w:rPr>
          <w:sz w:val="24"/>
        </w:rPr>
        <w:t xml:space="preserve">Положения, предусмотренные настоящим параграфом, применяются также в случае, если имущество должника - юридического лица заведомо не позволяет покрыть судебные расходы в связи с делом о банкротстве или если в течение последних двенадцати месяцев до даты подачи заявления о признании должника банкротом не проводились операции по банковским счетам, в том числе по счету цифрового рубля, должника, а также при наличии иных признаков, свидетельствующих об отсутствии предпринимательской или иной деятельности должника.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§ 3. Банкротство специализированного общества и ипотечного агента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230</dc:title>
  <dc:creator>АРБИТРАЖ! · arbi.ru</dc:creator>
  <cp:lastModifiedBy>АРБИТРАЖ!</cp:lastModifiedBy>
  <dcterms:created xsi:type="dcterms:W3CDTF">2026-10-22T20:38:07.192Z</dcterms:created>
</cp:coreProperties>
</file>