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230.5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Заявление о признании ипотечного агента банкротом подается по правилам статьи 230.1 настоящего параграфа.</w:t>
      </w:r>
    </w:p>
    <w:p>
      <w:pPr>
        <w:spacing w:after="120"/>
        <w:ind w:firstLine="709"/>
      </w:pPr>
      <w:r>
        <w:rPr>
          <w:sz w:val="24"/>
        </w:rPr>
        <w:t xml:space="preserve">2. Рассмотрение дела о банкротстве ипотечного агента осуществляется по правилам статьи 230.2 настоящего параграфа.</w:t>
      </w:r>
    </w:p>
    <w:p/>
    <w:p>
      <w:pPr>
        <w:spacing w:after="120"/>
        <w:ind w:firstLine="709"/>
      </w:pPr>
      <w:r>
        <w:rPr>
          <w:sz w:val="24"/>
        </w:rPr>
        <w:t xml:space="preserve">Глава XII. Заключительные и переходные положения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230.5</dc:title>
  <dc:creator>АРБИТРАЖ! · arbi.ru</dc:creator>
  <cp:lastModifiedBy>АРБИТРАЖ!</cp:lastModifiedBy>
  <dcterms:created xsi:type="dcterms:W3CDTF">2026-10-22T22:02:15.928Z</dcterms:created>
</cp:coreProperties>
</file>