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Единый государственный реестр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Внесение сведений в Единый государственный реестр недвижимости осуществляется органом регистрации прав:</w:t>
      </w:r>
    </w:p>
    <w:p>
      <w:pPr>
        <w:spacing w:after="120"/>
        <w:ind w:firstLine="709"/>
      </w:pPr>
      <w:r>
        <w:rPr>
          <w:sz w:val="24"/>
        </w:rPr>
        <w:t xml:space="preserve">1) в результате государственного кадастрового учета и (или) государственной регистрации прав - при внесении основных сведений об объекте недвижимости и, если иное не предусмотрено федеральным законом, дополнительных сведений об объекте недвижимости, указанных в пункте 4 части 5 статьи 8 настоящего Федерального закона, а также сведений о правах, об ограничениях прав и обременениях объекта недвижимости, о сделках, подлежащих на основании федерального закона государственной регистрации;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порядке межведомственного информационного взаимодействия - при внесении дополнительных сведений об объекте недвижимого имущества, при внесении сведений в реестр границ, а также в установленных настоящим Федеральным законом случаях сведений о лице, за которым зарегистрировано право на объект недвижимости, а также лице, в пользу которого установлены ограничения права, обременения объекта недвижимости;</w:t>
      </w:r>
    </w:p>
    <w:p>
      <w:pPr>
        <w:spacing w:after="120"/>
        <w:ind w:firstLine="709"/>
      </w:pPr>
      <w:r>
        <w:rPr>
          <w:sz w:val="24"/>
        </w:rPr>
        <w:t xml:space="preserve">3) в уведомительном порядке - при внесении в установленных настоящим Федеральным законом случаях дополнительных сведений, внесение которых в Единый государственный реестр недвижимости не влечет за собой переход, прекращение права, ограничение права или обременение объекта недвижимости.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13</dc:title>
  <dc:creator>АРБИТРАЖ! · arbi.ru</dc:creator>
  <cp:lastModifiedBy>АРБИТРАЖ!</cp:lastModifiedBy>
  <dcterms:created xsi:type="dcterms:W3CDTF">2026-10-22T12:55:16.654Z</dcterms:created>
</cp:coreProperties>
</file>