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Государственный кадастровый учет недвижимого имущества и государственная регистрация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22.07.2024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17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возврате госпошлины</w:t>
      </w:r>
    </w:p>
    <w:p>
      <w:pPr>
        <w:spacing w:after="120"/>
        <w:ind w:firstLine="709"/>
      </w:pPr>
      <w:r>
        <w:rPr>
          <w:sz w:val="24"/>
        </w:rPr>
        <w:t xml:space="preserve">За осуществление государственного кадастрового учета и (или) государственной регистрации прав взимается государственная пошлина в соответствии с Налоговым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17</dc:title>
  <dc:creator>АРБИТРАЖ! · arbi.ru</dc:creator>
  <cp:lastModifiedBy>АРБИТРАЖ!</cp:lastModifiedBy>
  <dcterms:created xsi:type="dcterms:W3CDTF">2026-10-22T20:21:55.291Z</dcterms:created>
</cp:coreProperties>
</file>