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Закон о регистрации недвижимости, ст. 25</w:t>
      </w:r>
    </w:p>
    <w:p>
      <w:pPr>
        <w:spacing w:after="120"/>
        <w:ind w:firstLine="709"/>
      </w:pPr>
      <w:r>
        <w:rPr>
          <w:sz w:val="24"/>
        </w:rPr>
        <w:t xml:space="preserve">Акт: Федеральный закон «О государственной регистрации недвижимости» № 218-ФЗ</w:t>
      </w:r>
    </w:p>
    <w:p>
      <w:pPr>
        <w:spacing w:after="120"/>
        <w:ind w:firstLine="709"/>
      </w:pPr>
      <w:r>
        <w:rPr>
          <w:sz w:val="24"/>
        </w:rPr>
        <w:t xml:space="preserve">Источник: https://www.consultant.ru/document/cons_doc_LAW_182661/</w:t>
      </w:r>
    </w:p>
    <w:p>
      <w:pPr>
        <w:spacing w:after="120"/>
        <w:ind w:firstLine="709"/>
      </w:pPr>
      <w:r>
        <w:rPr>
          <w:sz w:val="24"/>
        </w:rPr>
        <w:t xml:space="preserve">Раздел: Глава 3. Государственный кадастровый учет недвижимого имущества и государственная регистрация прав на недвижимое имущество</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Заявление о государственном кадастровом учете и (или) государственной регистрации прав и документы, прилагаемые к нему, возвращаются без рассмотрения, если:</w:t>
      </w:r>
    </w:p>
    <w:p>
      <w:pPr>
        <w:spacing w:after="120"/>
        <w:ind w:firstLine="709"/>
      </w:pPr>
      <w:r>
        <w:rPr>
          <w:sz w:val="24"/>
        </w:rPr>
        <w:t xml:space="preserve">(в ред. Федерального закона от 30.04.2021 N 120-ФЗ)</w:t>
      </w:r>
    </w:p>
    <w:p>
      <w:pPr>
        <w:spacing w:after="120"/>
        <w:ind w:firstLine="709"/>
      </w:pPr>
      <w:r>
        <w:rPr>
          <w:sz w:val="24"/>
        </w:rPr>
        <w:t xml:space="preserve">(см. текст в предыдущей редакции )</w:t>
      </w:r>
    </w:p>
    <w:p>
      <w:pPr>
        <w:spacing w:after="120"/>
        <w:ind w:firstLine="709"/>
      </w:pPr>
      <w:r>
        <w:rPr>
          <w:sz w:val="24"/>
        </w:rPr>
        <w:t xml:space="preserve">1) такие заявление и документы представлены в форме электронных документов, электронных образов документов в формате, не соответствующем формату, установленному органом нормативно-правового регулирования;</w:t>
      </w:r>
    </w:p>
    <w:p>
      <w:pPr>
        <w:spacing w:after="120"/>
        <w:ind w:firstLine="709"/>
      </w:pPr>
      <w:r>
        <w:rPr>
          <w:sz w:val="24"/>
        </w:rPr>
        <w:t xml:space="preserve">1.1) заявление о государственной регистрации перехода, прекращения права собственности на объект недвижимости, принадлежащий физическому лицу, заявление о государственной регистрации договора об уступке прав требований по договору участия в долевом строительстве и прилагаемые к ним документы представлены в форме электронных документов и (или) электронных образов документов, подписанных усиленной квалифицированной электронной подписью, и при этом не соблюдены требования, установленные статьей 36.2 настоящего Федерального закона;</w:t>
      </w:r>
    </w:p>
    <w:p>
      <w:pPr>
        <w:spacing w:after="120"/>
        <w:ind w:firstLine="709"/>
      </w:pPr>
      <w:r>
        <w:rPr>
          <w:sz w:val="24"/>
        </w:rPr>
        <w:t xml:space="preserve">(п. 1.1 введен Федеральным законом от 02.08.2019 N 286-ФЗ; в ред. Федерального закона от 28.06.2022 N 185-ФЗ)</w:t>
      </w:r>
    </w:p>
    <w:p>
      <w:pPr>
        <w:spacing w:after="120"/>
        <w:ind w:firstLine="709"/>
      </w:pPr>
      <w:r>
        <w:rPr>
          <w:sz w:val="24"/>
        </w:rPr>
        <w:t xml:space="preserve">(см. текст в предыдущей редакции )</w:t>
      </w:r>
    </w:p>
    <w:p>
      <w:pPr>
        <w:spacing w:after="120"/>
        <w:ind w:firstLine="709"/>
      </w:pPr>
      <w:r>
        <w:rPr>
          <w:sz w:val="24"/>
        </w:rPr>
        <w:t xml:space="preserve">1.2) в случаях, установленных частями 1.4 , 1.6 , 1.7 статьи 18 настоящего Федерального закона, такие заявление и документы представлены в форме документов на бумажном носителе;</w:t>
      </w:r>
    </w:p>
    <w:p>
      <w:pPr>
        <w:spacing w:after="120"/>
        <w:ind w:firstLine="709"/>
      </w:pPr>
      <w:r>
        <w:rPr>
          <w:sz w:val="24"/>
        </w:rPr>
        <w:t xml:space="preserve">(п. 1.2 введен Федеральным законом от 26.12.2024 N 487-ФЗ)</w:t>
      </w:r>
    </w:p>
    <w:p>
      <w:pPr>
        <w:spacing w:after="120"/>
        <w:ind w:firstLine="709"/>
      </w:pPr>
      <w:r>
        <w:rPr>
          <w:sz w:val="24"/>
        </w:rPr>
        <w:t xml:space="preserve">2) такие заявление и документы представлены в форме документов на бумажном носителе и имеют подчистки либо приписки, зачеркнутые слова и иные не оговоренные в них исправления, в том числе документы, исполненные карандашом, имеют серьезные повреждения, которые не позволяют однозначно истолковать их содержание;</w:t>
      </w:r>
    </w:p>
    <w:p>
      <w:pPr>
        <w:spacing w:after="120"/>
        <w:ind w:firstLine="709"/>
      </w:pPr>
      <w:r>
        <w:rPr>
          <w:sz w:val="24"/>
        </w:rPr>
        <w:t xml:space="preserve">3) информация об уплате государственной пошлины в размере, предусмотренном Налоговым кодексом Российской Федерации, за осуществление государственного кадастрового учета и (или) государственной регистрации прав по истечении пяти рабочих дней с даты подачи соответствующего заявления отсутствует в Государственной информационной системе о государственных и муниципальных платежах и документ об уплате государственной пошлины не был представлен заявителем;</w:t>
      </w:r>
    </w:p>
    <w:p>
      <w:pPr>
        <w:spacing w:after="120"/>
        <w:ind w:firstLine="709"/>
      </w:pPr>
      <w:r>
        <w:rPr>
          <w:sz w:val="24"/>
        </w:rPr>
        <w:t xml:space="preserve">(в ред. Федеральных законов от 30.04.2021 N 120-ФЗ , от 22.07.2024 N 207-ФЗ )</w:t>
      </w:r>
    </w:p>
    <w:p>
      <w:pPr>
        <w:spacing w:after="120"/>
        <w:ind w:firstLine="709"/>
      </w:pPr>
      <w:r>
        <w:rPr>
          <w:sz w:val="24"/>
        </w:rPr>
        <w:t xml:space="preserve">(см. текст в предыдущей редакции )</w:t>
      </w:r>
    </w:p>
    <w:p>
      <w:pPr>
        <w:spacing w:after="120"/>
        <w:ind w:firstLine="709"/>
      </w:pPr>
      <w:r>
        <w:rPr>
          <w:sz w:val="24"/>
        </w:rPr>
        <w:t xml:space="preserve">4) в Едином государственном реестре недвижимости содержится отметка о невозможности государственной регистрации перехода права, ограничения права и обременения объекта недвижимости без личного участия собственника объекта недвижимости (его законного представителя) и заявление на государственную регистрацию прав представлено иным лицом, за исключением случаев, предусмотренных пунктом 4.5 части 1 и пунктом 5 части 3 статьи 15 (при условии совершения сделки при личном участии правообладателя (его законного представителя), частью 1.1 статьи 19 настоящего Федерального закона, а также случая государственной регистрации прав в порядке наследования;</w:t>
      </w:r>
    </w:p>
    <w:p>
      <w:pPr>
        <w:spacing w:after="120"/>
        <w:ind w:firstLine="709"/>
      </w:pPr>
      <w:r>
        <w:rPr>
          <w:sz w:val="24"/>
        </w:rPr>
        <w:t xml:space="preserve">(в ред. Федеральных законов от 01.07.2017 N 141-ФЗ , от 30.04.2021 N 120-ФЗ , от 28.06.2022 N 185-ФЗ )</w:t>
      </w:r>
    </w:p>
    <w:p>
      <w:pPr>
        <w:spacing w:after="120"/>
        <w:ind w:firstLine="709"/>
      </w:pPr>
      <w:r>
        <w:rPr>
          <w:sz w:val="24"/>
        </w:rPr>
        <w:t xml:space="preserve">(см. текст в предыдущей редакции )</w:t>
      </w:r>
    </w:p>
    <w:p>
      <w:pPr>
        <w:spacing w:after="120"/>
        <w:ind w:firstLine="709"/>
      </w:pPr>
      <w:r>
        <w:rPr>
          <w:sz w:val="24"/>
        </w:rPr>
        <w:t xml:space="preserve">4.1) в Едином государственном реестре недвижимости содержится отметка о невозможности государственной регистрации перехода, прекращения права собственности на земельный участок из земель сельскохозяйственного назначения и государственной регистрации ипотеки как обременения на такой земельный участок, за исключением перехода права в порядке универсального правопреемства, до устранения собственником такого земельного участка выявленного в рамках федерального государственного земельного контроля (надзора) нарушения обязательных требований или отмены выданного предписания об устранении выявленного нарушения обязательных требований по результатам рассмотрения жалобы на решение уполномоченного органа исполнительной власти по осуществлению федерального государственного земельного контроля (надзора) либо отметка о невозможности государственной регистрации перехода, прекращения права собственности на земельный участок из земель сельскохозяйственного назначения и государственной регистрации ипотеки как обременения на такой земельный участок, за исключением перехода права в порядке универсального правопреемства, до завершения рассмотрения судом дела о его изъятии в связи с неиспользованием по целевому назначению или использованием с нарушением законодательства Российской Федерации;</w:t>
      </w:r>
    </w:p>
    <w:p>
      <w:pPr>
        <w:spacing w:after="120"/>
        <w:ind w:firstLine="709"/>
      </w:pPr>
      <w:r>
        <w:rPr>
          <w:sz w:val="24"/>
        </w:rPr>
        <w:t xml:space="preserve">(п. 4.1 в ред. Федерального закона от 05.12.2022 N 507-ФЗ)</w:t>
      </w:r>
    </w:p>
    <w:p>
      <w:pPr>
        <w:spacing w:after="120"/>
        <w:ind w:firstLine="709"/>
      </w:pPr>
      <w:r>
        <w:rPr>
          <w:sz w:val="24"/>
        </w:rPr>
        <w:t xml:space="preserve">(см. текст в предыдущей редакции )</w:t>
      </w:r>
    </w:p>
    <w:p>
      <w:pPr>
        <w:spacing w:after="120"/>
        <w:ind w:firstLine="709"/>
      </w:pPr>
      <w:r>
        <w:rPr>
          <w:sz w:val="24"/>
        </w:rPr>
        <w:t xml:space="preserve">5) заявление о государственном кадастровом учете и (или) государственной регистрации прав не подписано заявителем в соответствии с законодательством Российской Федерации;</w:t>
      </w:r>
    </w:p>
    <w:p>
      <w:pPr>
        <w:spacing w:after="120"/>
        <w:ind w:firstLine="709"/>
      </w:pPr>
      <w:r>
        <w:rPr>
          <w:sz w:val="24"/>
        </w:rPr>
        <w:t xml:space="preserve">6) право, ограничение права или обременение объекта недвижимости, о регистрации которого просит заявитель, не подлежит государственной регистрации в соответствии с федеральным законом;</w:t>
      </w:r>
    </w:p>
    <w:p>
      <w:pPr>
        <w:spacing w:after="120"/>
        <w:ind w:firstLine="709"/>
      </w:pPr>
      <w:r>
        <w:rPr>
          <w:sz w:val="24"/>
        </w:rPr>
        <w:t xml:space="preserve">(п. 6 введен Федеральным законом от 13.06.2023 N 248-ФЗ)</w:t>
      </w:r>
    </w:p>
    <w:p>
      <w:pPr>
        <w:spacing w:after="120"/>
        <w:ind w:firstLine="709"/>
      </w:pPr>
      <w:r>
        <w:rPr>
          <w:sz w:val="24"/>
        </w:rPr>
        <w:t xml:space="preserve">7) земельный участок, в отношении которого представлено заявление о его снятии с государственного кадастрового учета, не является преобразуемым и не подлежит снятию с такого учета в соответствии с настоящим Федеральным законом;</w:t>
      </w:r>
    </w:p>
    <w:p>
      <w:pPr>
        <w:spacing w:after="120"/>
        <w:ind w:firstLine="709"/>
      </w:pPr>
      <w:r>
        <w:rPr>
          <w:sz w:val="24"/>
        </w:rPr>
        <w:t xml:space="preserve">(п. 7 введен Федеральным законом от 13.06.2023 N 248-ФЗ)</w:t>
      </w:r>
    </w:p>
    <w:p>
      <w:pPr>
        <w:spacing w:after="120"/>
        <w:ind w:firstLine="709"/>
      </w:pPr>
      <w:r>
        <w:rPr>
          <w:sz w:val="24"/>
        </w:rPr>
        <w:t xml:space="preserve">8) такие заявление и документы представлены повторно и при этом по ранее представленному такому заявлению принято решение об осуществлении государственного кадастрового учета и (или) государственной регистрации прав;</w:t>
      </w:r>
    </w:p>
    <w:p>
      <w:pPr>
        <w:spacing w:after="120"/>
        <w:ind w:firstLine="709"/>
      </w:pPr>
      <w:r>
        <w:rPr>
          <w:sz w:val="24"/>
        </w:rPr>
        <w:t xml:space="preserve">(п. 8 введен Федеральным законом от 26.12.2024 N 487-ФЗ)</w:t>
      </w:r>
    </w:p>
    <w:p>
      <w:pPr>
        <w:spacing w:after="120"/>
        <w:ind w:firstLine="709"/>
      </w:pPr>
      <w:r>
        <w:rPr>
          <w:sz w:val="24"/>
        </w:rPr>
        <w:t xml:space="preserve">9) сведения о физическом лице внесены в список лиц, в отношении которых применяются временные ограничительные меры, в соответствии с Федеральным законом "О временных ограничительных мерах в отношении лиц, находящихся за пределами Российской Федерации и уклоняющихся от исполнения наказания".</w:t>
      </w:r>
    </w:p>
    <w:p>
      <w:pPr>
        <w:spacing w:after="120"/>
        <w:ind w:firstLine="709"/>
      </w:pPr>
      <w:r>
        <w:rPr>
          <w:sz w:val="24"/>
        </w:rPr>
        <w:t xml:space="preserve">(п. 9 введен Федеральным законом от 04.08.2026 N 285-ФЗ)</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Закон о регистрации недвижимости, ст. 25</dc:title>
  <dc:creator>АРБИТРАЖ! · arbi.ru</dc:creator>
  <cp:lastModifiedBy>АРБИТРАЖ!</cp:lastModifiedBy>
  <dcterms:created xsi:type="dcterms:W3CDTF">2026-10-22T22:36:22.777Z</dcterms:created>
</cp:coreProperties>
</file>