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45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Основаниями для осуществления государственного кадастрового учета и государственной регистрации прав на искусственно созданный земельный участок соответственно являются:</w:t>
      </w:r>
    </w:p>
    <w:p>
      <w:pPr>
        <w:spacing w:after="120"/>
        <w:ind w:firstLine="709"/>
      </w:pPr>
      <w:r>
        <w:rPr>
          <w:sz w:val="24"/>
        </w:rPr>
        <w:t xml:space="preserve">1) разрешение на ввод в эксплуатацию искусственно созданного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2) документация по планировке территории в планируемых границах искусственного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3) разрешение на создание искусственного земельного участка либо решение о создании морского порта или о расширении территории морского порта, предусматривающее создание искусственного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договор о создании искусственного земельного участка в случае, если на искусственно созданный земельный участок возникает право общей долевой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представленном в соответствии с частью 1 настоящей статьи разрешении на ввод в эксплуатацию искусственно созданного земельного участка одновременно предусмотрен ввод в эксплуатацию расположенного на нем объекта капитального строительства, государственная регистрация права собственности на указанный объект капитального строительства осуществляется одновременно с государственной регистрацией права собственности на искусственно созданный земельный участок.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45</dc:title>
  <dc:creator>АРБИТРАЖ! · arbi.ru</dc:creator>
  <cp:lastModifiedBy>АРБИТРАЖ!</cp:lastModifiedBy>
  <dcterms:created xsi:type="dcterms:W3CDTF">2026-10-22T16:47:38.792Z</dcterms:created>
</cp:coreProperties>
</file>