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45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Особенности осуществления государственного кадастрового учета отдельных видов недвижимого имущества и государственной регистрации отдельных видов прав на недвижимое имущество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Основаниями для осуществления государственного кадастрового учета и государственной регистрации прав на искусственно созданный земельный участок соответственно являются:</w:t>
      </w:r>
    </w:p>
    <w:p>
      <w:pPr>
        <w:spacing w:after="120"/>
        <w:ind w:firstLine="709"/>
      </w:pPr>
      <w:r>
        <w:rPr>
          <w:sz w:val="24"/>
        </w:rPr>
        <w:t xml:space="preserve">1) разрешение на ввод в эксплуатацию искусственно созданного земельного участка;</w:t>
      </w:r>
    </w:p>
    <w:p>
      <w:pPr>
        <w:spacing w:after="120"/>
        <w:ind w:firstLine="709"/>
      </w:pPr>
      <w:r>
        <w:rPr>
          <w:sz w:val="24"/>
        </w:rPr>
        <w:t xml:space="preserve">2) документация по планировке территории в планируемых границах искусственного земельного участка;</w:t>
      </w:r>
    </w:p>
    <w:p>
      <w:pPr>
        <w:spacing w:after="120"/>
        <w:ind w:firstLine="709"/>
      </w:pPr>
      <w:r>
        <w:rPr>
          <w:sz w:val="24"/>
        </w:rPr>
        <w:t xml:space="preserve">3) разрешение на создание искусственного земельного участка либо решение о создании морского порта или о расширении территории морского порта, предусматривающее создание искусственного земельного участка;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договор о создании искусственного земельного участка в случае, если на искусственно созданный земельный участок возникает право общей долевой собственности.</w:t>
      </w:r>
    </w:p>
    <w:p>
      <w:pPr>
        <w:spacing w:after="120"/>
        <w:ind w:firstLine="709"/>
      </w:pPr>
      <w:r>
        <w:rPr>
          <w:sz w:val="24"/>
        </w:rPr>
        <w:t xml:space="preserve">2. В случае, если в представленном в соответствии с частью 1 настоящей статьи разрешении на ввод в эксплуатацию искусственно созданного земельного участка одновременно предусмотрен ввод в эксплуатацию расположенного на нем объекта капитального строительства, государственная регистрация права собственности на указанный объект капитального строительства осуществляется одновременно с государственной регистрацией права собственности на искусственно созданный земельный участок.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45</dc:title>
  <dc:creator>АРБИТРАЖ! · arbi.ru</dc:creator>
  <cp:lastModifiedBy>АРБИТРАЖ!</cp:lastModifiedBy>
  <dcterms:created xsi:type="dcterms:W3CDTF">2026-10-22T18:06:20.230Z</dcterms:created>
</cp:coreProperties>
</file>