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государственная регистрация права собственности на единый недвижимый комплекс осуществляются:</w:t>
      </w:r>
    </w:p>
    <w:p>
      <w:pPr>
        <w:spacing w:after="120"/>
        <w:ind w:firstLine="709"/>
      </w:pPr>
      <w:r>
        <w:rPr>
          <w:sz w:val="24"/>
        </w:rPr>
        <w:t xml:space="preserve">1) в связи с созданием объектов недвижимости, если в соответствии с проектной документацией предусмотрена эксплуатация таких объектов как единого недвижимого комплекса;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связи с объединением нескольких указанных в статье 133.1 Гражданского кодекса Российской Федерации объектов недвижимости, сведения о которых внесены в Единый государственный реестр недвижимости и права на которые зарегистрированы в Едином государственном реестре недвижимости, по заявлению их собственника.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Государственная регистрация права собственности на предприятие как имущественный комплекс осуществляется после государственного кадастрового учета и государственной регистрации прав на каждый объект недвижимости, входящий в состав предприятия как имущественного комплекса.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перехода права собственности, ограничений права собственности, обременений предприятия как имущественного комплекса осуществляется одновременно с государственной регистрацией перехода права собственности и ограничений прав и обременений всех объектов недвижимости, входящих в состав такого предприятия.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46</dc:title>
  <dc:creator>АРБИТРАЖ! · arbi.ru</dc:creator>
  <cp:lastModifiedBy>АРБИТРАЖ!</cp:lastModifiedBy>
  <dcterms:created xsi:type="dcterms:W3CDTF">2026-10-22T19:08:22.754Z</dcterms:created>
</cp:coreProperties>
</file>