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46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Государственный кадастровый учет и государственная регистрация права собственности на единый недвижимый комплекс осуществляются:</w:t>
      </w:r>
    </w:p>
    <w:p>
      <w:pPr>
        <w:spacing w:after="120"/>
        <w:ind w:firstLine="709"/>
      </w:pPr>
      <w:r>
        <w:rPr>
          <w:sz w:val="24"/>
        </w:rPr>
        <w:t xml:space="preserve">1) в связи с созданием объектов недвижимости, если в соответствии с проектной документацией предусмотрена эксплуатация таких объектов как единого недвижимого комплекса;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связи с объединением нескольких указанных в статье 133.1 Гражданского кодекса Российской Федерации объектов недвижимости, сведения о которых внесены в Единый государственный реестр недвижимости и права на которые зарегистрированы в Едином государственном реестре недвижимости, по заявлению их собственника.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Государственная регистрация права собственности на предприятие как имущественный комплекс осуществляется после государственного кадастрового учета и государственной регистрации прав на каждый объект недвижимости, входящий в состав предприятия как имущественного комплекса.</w:t>
      </w:r>
    </w:p>
    <w:p>
      <w:pPr>
        <w:spacing w:after="120"/>
        <w:ind w:firstLine="709"/>
      </w:pPr>
      <w:r>
        <w:rPr>
          <w:sz w:val="24"/>
        </w:rPr>
        <w:t xml:space="preserve">3. Государственная регистрация перехода права собственности, ограничений права собственности, обременений предприятия как имущественного комплекса осуществляется одновременно с государственной регистрацией перехода права собственности и ограничений прав и обременений всех объектов недвижимости, входящих в состав такого предприятия.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46</dc:title>
  <dc:creator>АРБИТРАЖ! · arbi.ru</dc:creator>
  <cp:lastModifiedBy>АРБИТРАЖ!</cp:lastModifiedBy>
  <dcterms:created xsi:type="dcterms:W3CDTF">2026-10-22T22:46:23.042Z</dcterms:created>
</cp:coreProperties>
</file>