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Закон о регистрации недвижимости, ст. 49</w:t>
      </w:r>
    </w:p>
    <w:p>
      <w:pPr>
        <w:spacing w:after="120"/>
        <w:ind w:firstLine="709"/>
      </w:pPr>
      <w:r>
        <w:rPr>
          <w:sz w:val="24"/>
        </w:rPr>
        <w:t xml:space="preserve">Акт: Федеральный закон «О государственной регистрации недвижимости» № 218-ФЗ</w:t>
      </w:r>
    </w:p>
    <w:p>
      <w:pPr>
        <w:spacing w:after="120"/>
        <w:ind w:firstLine="709"/>
      </w:pPr>
      <w:r>
        <w:rPr>
          <w:sz w:val="24"/>
        </w:rPr>
        <w:t xml:space="preserve">Источник: https://www.consultant.ru/document/cons_doc_LAW_182661/</w:t>
      </w:r>
    </w:p>
    <w:p>
      <w:pPr>
        <w:spacing w:after="120"/>
        <w:ind w:firstLine="709"/>
      </w:pPr>
      <w:r>
        <w:rPr>
          <w:sz w:val="24"/>
        </w:rPr>
        <w:t xml:space="preserve">Раздел: Глава 6. Особенности осуществления государственного кадастрового учета отдельных видов недвижимого имущества и государственной регистрации отдельных видов прав на недвижимое имущество</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Федеральных законов от 29.07.2017 N 217-ФЗ , от 05.04.2021 N 79-ФЗ , от 24.07.2023 N 338-ФЗ )</w:t>
      </w:r>
    </w:p>
    <w:p>
      <w:pPr>
        <w:spacing w:after="120"/>
        <w:ind w:firstLine="709"/>
      </w:pPr>
      <w:r>
        <w:rPr>
          <w:sz w:val="24"/>
        </w:rPr>
        <w:t xml:space="preserve">(см. текст в предыдущей редакции )</w:t>
      </w:r>
    </w:p>
    <w:p>
      <w:pPr>
        <w:spacing w:after="120"/>
        <w:ind w:firstLine="709"/>
      </w:pPr>
      <w:r>
        <w:rPr>
          <w:sz w:val="24"/>
        </w:rPr>
        <w:t xml:space="preserve">Перспективы и риски споров в суде общей юрисдикции. Ситуации, связанные со ст. 49</w:t>
      </w:r>
    </w:p>
    <w:p>
      <w:pPr>
        <w:spacing w:after="120"/>
        <w:ind w:firstLine="709"/>
      </w:pPr>
      <w:r>
        <w:rPr>
          <w:sz w:val="24"/>
        </w:rPr>
        <w:t xml:space="preserve">- Истец хочет признать право общей долевой собственности на земельный участок</w:t>
      </w:r>
    </w:p>
    <w:p>
      <w:pPr>
        <w:spacing w:after="120"/>
        <w:ind w:firstLine="709"/>
      </w:pPr>
      <w:r>
        <w:rPr>
          <w:sz w:val="24"/>
        </w:rPr>
        <w:t xml:space="preserve">1. Государственная регистрация права собственности гражданина на земельный участок, предоставленный до дня введения в действие Земельного кодекса Российской Федерации на праве собственности, пожизненного наследуемого владения или постоянного (бессрочного) пользования либо если в акте, свидетельстве или другом документе, устанавливающих или удостоверяющих право гражданина на указанный земельный участок, не указано право, на котором предоставлен указанный земельный участок, или невозможно определить вид этого права, осуществляется на основании следующих документов:</w:t>
      </w:r>
    </w:p>
    <w:p>
      <w:pPr>
        <w:spacing w:after="120"/>
        <w:ind w:firstLine="709"/>
      </w:pPr>
      <w:r>
        <w:rPr>
          <w:sz w:val="24"/>
        </w:rPr>
        <w:t xml:space="preserve">(в ред. Федеральных законов от 29.07.2017 N 217-ФЗ , от 05.04.2021 N 79-ФЗ , от 24.07.2023 N 338-ФЗ )</w:t>
      </w:r>
    </w:p>
    <w:p>
      <w:pPr>
        <w:spacing w:after="120"/>
        <w:ind w:firstLine="709"/>
      </w:pPr>
      <w:r>
        <w:rPr>
          <w:sz w:val="24"/>
        </w:rPr>
        <w:t xml:space="preserve">(см. текст в предыдущей редакции )</w:t>
      </w:r>
    </w:p>
    <w:p>
      <w:pPr>
        <w:spacing w:after="120"/>
        <w:ind w:firstLine="709"/>
      </w:pPr>
      <w:r>
        <w:rPr>
          <w:sz w:val="24"/>
        </w:rPr>
        <w:t xml:space="preserve">1) акт о предоставлении такому гражданину указанного земельного участка, изданный органом государственной власти или органом местного самоуправления в пределах его компетенции и в порядке, которые установлены законодательством, действовавшим в месте издания данного акта на момент его издания;</w:t>
      </w:r>
    </w:p>
    <w:p>
      <w:pPr>
        <w:spacing w:after="120"/>
        <w:ind w:firstLine="709"/>
      </w:pPr>
      <w:r>
        <w:rPr>
          <w:sz w:val="24"/>
        </w:rPr>
        <w:t xml:space="preserve">2) акт (свидетельство) о праве такого гражданина на указанный земельный участок, выданный уполномоченным органом государственной власти в порядке, установленном законодательством, действовавшим в месте издания данного акта на момент его издания;</w:t>
      </w:r>
    </w:p>
    <w:p>
      <w:pPr>
        <w:spacing w:after="120"/>
        <w:ind w:firstLine="709"/>
      </w:pPr>
      <w:r>
        <w:rPr>
          <w:sz w:val="24"/>
        </w:rPr>
        <w:t xml:space="preserve">3) выдаваемая органом местного самоуправления выписка из похозяйственной книги о наличии у такого гражданина права на указанный земельный участок (в случае, если этот земельный участок предоставлен для ведения личного подсобного хозяйства), форма которой устанавливается органом нормативно-правового регулирования;</w:t>
      </w:r>
    </w:p>
    <w:p>
      <w:pPr>
        <w:spacing w:after="120"/>
        <w:ind w:firstLine="709"/>
      </w:pPr>
      <w:r>
        <w:rPr>
          <w:sz w:val="24"/>
        </w:rPr>
        <w:t xml:space="preserve">(в ред. Федерального закона от 30.04.2021 N 120-ФЗ)</w:t>
      </w:r>
    </w:p>
    <w:p>
      <w:pPr>
        <w:spacing w:after="120"/>
        <w:ind w:firstLine="709"/>
      </w:pPr>
      <w:r>
        <w:rPr>
          <w:sz w:val="24"/>
        </w:rPr>
        <w:t xml:space="preserve">(см. текст в предыдущей редакции )</w:t>
      </w:r>
    </w:p>
    <w:p>
      <w:pPr>
        <w:spacing w:after="120"/>
        <w:ind w:firstLine="709"/>
      </w:pPr>
      <w:r>
        <w:rPr>
          <w:sz w:val="24"/>
        </w:rPr>
        <w:t xml:space="preserve">4) иной документ, устанавливающий или удостоверяющий право такого гражданина на указанный земельный участок.</w:t>
      </w:r>
    </w:p>
    <w:p>
      <w:pPr>
        <w:spacing w:after="120"/>
        <w:ind w:firstLine="709"/>
      </w:pPr>
      <w:r>
        <w:rPr>
          <w:sz w:val="24"/>
        </w:rPr>
        <w:t xml:space="preserve">2. Государственная регистрация права собственности гражданина на указанный в части 1 настоящей статьи земельный участок в случае, если к такому гражданину перешло в порядке наследования или по иным основаниям право собственности на расположенное на этом земельном участке здание (строение) или сооружение, осуществляется в соответствии с положениями настоящей статьи. При этом вместо документа, устанавливающего или удостоверяющего право такого гражданина на этот земельный участок, в качестве основания осуществления государственной регистрации права собственности такого гражданина на этот земельный участок могут быть представлены следующие документы:</w:t>
      </w:r>
    </w:p>
    <w:p>
      <w:pPr>
        <w:spacing w:after="120"/>
        <w:ind w:firstLine="709"/>
      </w:pPr>
      <w:r>
        <w:rPr>
          <w:sz w:val="24"/>
        </w:rPr>
        <w:t xml:space="preserve">1) свидетельство о праве на наследство либо иной документ, устанавливающий или удостоверяющий право собственности такого гражданина на указанное здание (строение) или сооружение;</w:t>
      </w:r>
    </w:p>
    <w:p>
      <w:pPr>
        <w:spacing w:after="120"/>
        <w:ind w:firstLine="709"/>
      </w:pPr>
      <w:r>
        <w:rPr>
          <w:sz w:val="24"/>
        </w:rPr>
        <w:t xml:space="preserve">2) один из документов, предусмотренных частью 1 настоящей статьи и устанавливающих или удостоверяющих право гражданина - любого прежнего собственника указанного здания (строения) или сооружения на этот земельный участок.</w:t>
      </w:r>
    </w:p>
    <w:p>
      <w:pPr>
        <w:spacing w:after="120"/>
        <w:ind w:firstLine="709"/>
      </w:pPr>
      <w:r>
        <w:rPr>
          <w:sz w:val="24"/>
        </w:rPr>
        <w:t xml:space="preserve">3. Представление предусмотренных пунктом 1 части 2 настоящей статьи документов не требуется в случае, если право собственности гражданина на указанное здание (строение) или сооружение зарегистрировано в Едином государственном реестре недвижимости.</w:t>
      </w:r>
    </w:p>
    <w:p>
      <w:pPr>
        <w:spacing w:after="120"/>
        <w:ind w:firstLine="709"/>
      </w:pPr>
      <w:r>
        <w:rPr>
          <w:sz w:val="24"/>
        </w:rPr>
        <w:t xml:space="preserve">&lt;div class="</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Закон о регистрации недвижимости, ст. 49</dc:title>
  <dc:creator>АРБИТРАЖ! · arbi.ru</dc:creator>
  <cp:lastModifiedBy>АРБИТРАЖ!</cp:lastModifiedBy>
  <dcterms:created xsi:type="dcterms:W3CDTF">2026-10-22T20:55:42.929Z</dcterms:created>
</cp:coreProperties>
</file>