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54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Любые права на недвижимое имущество, связанные с распоряжением этим имуществом на условиях доверительного управления или опеки, должны регистрироваться только на основании документов, определяющих эти отношения, в том числе на основании актов государственных органов, органов местного самоуправления, договоров или решения суда.</w:t>
      </w:r>
    </w:p>
    <w:p>
      <w:pPr>
        <w:spacing w:after="120"/>
        <w:ind w:firstLine="709"/>
      </w:pPr>
      <w:r>
        <w:rPr>
          <w:sz w:val="24"/>
        </w:rPr>
        <w:t xml:space="preserve">2. Сделки, связанные с распоряжением недвижимым имуществом на условиях опеки, а также сделки по отчуждению недвижимого имущества, принадлежащего несовершеннолетнему гражданину или гражданину, признанному ограниченно дееспособным, подлежат нотариальному удостоверению.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02.06.2016 N 172-ФЗ)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54</dc:title>
  <dc:creator>АРБИТРАЖ! · arbi.ru</dc:creator>
  <cp:lastModifiedBy>АРБИТРАЖ!</cp:lastModifiedBy>
  <dcterms:created xsi:type="dcterms:W3CDTF">2026-10-22T20:21:30.221Z</dcterms:created>
</cp:coreProperties>
</file>