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заявлении о государственной регистрации права собственности на земельный участок указывается основание возникновения права собственности Российской Федерации, субъекта Российской Федерации или муниципального образования на земельный участок.</w:t>
      </w:r>
    </w:p>
    <w:p>
      <w:pPr>
        <w:spacing w:after="120"/>
        <w:ind w:firstLine="709"/>
      </w:pPr>
      <w:r>
        <w:rPr>
          <w:sz w:val="24"/>
        </w:rPr>
        <w:t xml:space="preserve">2. Перечень документов, необходимых для государственной регистрации права собственности Российской Федерации, субъекта Российской Федерации или муниципального образования на земельный участок при разграничении государственной собственности на землю, утверждается органом нормативно-правового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19.10.2023 N 503-ФЗ)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55</dc:title>
  <dc:creator>АРБИТРАЖ! · arbi.ru</dc:creator>
  <cp:lastModifiedBy>АРБИТРАЖ!</cp:lastModifiedBy>
  <dcterms:created xsi:type="dcterms:W3CDTF">2026-10-23T15:23:52.137Z</dcterms:created>
</cp:coreProperties>
</file>