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60.3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295-ФЗ)</w:t>
      </w:r>
    </w:p>
    <w:p>
      <w:pPr>
        <w:spacing w:after="120"/>
        <w:ind w:firstLine="709"/>
      </w:pPr>
      <w:r>
        <w:rPr>
          <w:sz w:val="24"/>
        </w:rPr>
        <w:t xml:space="preserve">1. Государственный кадастровый учет в связи с выбором вида или видов разрешенного использования земельного участка осуществляется в соответствии с настоящим Федеральным законом на основании заявления о внесении в Единый государственный реестр недвижимости сведений о выбранных основном виде или видах разрешенного использования земельного участка. В предусмотренных федеральным законом случаях государственный кадастровый учет, в том числе в связи с выбором вида или видов разрешенного использования земельного участка, осуществляется на основании данного заявления и прилагаемого к нему одного из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1) разрешение на условно разрешенный вид использования земельного участка (если такие сведения не были внесены в Единый государственный реестр недвижимости в порядке межведомственного информационного взаимодействия);</w:t>
      </w:r>
    </w:p>
    <w:p>
      <w:pPr>
        <w:spacing w:after="120"/>
        <w:ind w:firstLine="709"/>
      </w:pPr>
      <w:r>
        <w:rPr>
          <w:sz w:val="24"/>
        </w:rPr>
        <w:t xml:space="preserve">2) утвержденная документация по планировке территории (проект планировки территории и (или) проект межевания территории) и (или) решение о внесении изменений в указанные проекты в случае, если в соответствии с федеральным законом вид разрешенного использования земельного участка, сведения о котором внесены в Единый государственный реестр недвижимости, определяется на основании этой документации по планировке территории;</w:t>
      </w:r>
    </w:p>
    <w:p>
      <w:pPr>
        <w:spacing w:after="120"/>
        <w:ind w:firstLine="709"/>
      </w:pPr>
      <w:r>
        <w:rPr>
          <w:sz w:val="24"/>
        </w:rPr>
        <w:t xml:space="preserve">3) решение уполномоченного органа государственной власти об установлении или изменении вида разрешенного использования земельного участка в случае, если в соответствии с федеральным законом предусмотрены установление, изменение вида разрешенного использования земельного участка на основании решения данного органа;</w:t>
      </w:r>
    </w:p>
    <w:p>
      <w:pPr>
        <w:spacing w:after="120"/>
        <w:ind w:firstLine="709"/>
      </w:pPr>
      <w:r>
        <w:rPr>
          <w:sz w:val="24"/>
        </w:rPr>
        <w:t xml:space="preserve">4) предусмотренная законодательством о недрах проектная документация на осуществление пользования недрами или лицензия на пользование недрами.</w:t>
      </w:r>
    </w:p>
    <w:p>
      <w:pPr>
        <w:spacing w:after="120"/>
        <w:ind w:firstLine="709"/>
      </w:pPr>
      <w:r>
        <w:rPr>
          <w:sz w:val="24"/>
        </w:rPr>
        <w:t xml:space="preserve">2. Сведения об основном виде или о видах разрешенного использования образуемого земельного участка подлежат внесению в Единый государственный реестр недвижимости при осуществлении государственного кадастрового учета или государственного кадастрового учета и государственной регистрации прав на образуемый земельный участок на основании межевого плана земельного участка (земельных участков), подготовленного для образования земельного участка, и (или) в соответствии:</w:t>
      </w:r>
    </w:p>
    <w:p>
      <w:pPr>
        <w:spacing w:after="120"/>
        <w:ind w:firstLine="709"/>
      </w:pPr>
      <w:r>
        <w:rPr>
          <w:sz w:val="24"/>
        </w:rPr>
        <w:t xml:space="preserve">1) с утвержденным проектом межевания территории в случае, если в соответствии с федеральным законом вид разрешенного использования земельного участка определяется на основании проекта межевания территории;</w:t>
      </w:r>
    </w:p>
    <w:p>
      <w:pPr>
        <w:spacing w:after="120"/>
        <w:ind w:firstLine="709"/>
      </w:pPr>
      <w:r>
        <w:rPr>
          <w:sz w:val="24"/>
        </w:rPr>
        <w:t xml:space="preserve">2) с утвержденной схемой расположения земельного участка или земельных участков на кадастровом плане территории;</w:t>
      </w:r>
    </w:p>
    <w:p>
      <w:pPr>
        <w:spacing w:after="120"/>
        <w:ind w:firstLine="709"/>
      </w:pPr>
      <w:r>
        <w:rPr>
          <w:sz w:val="24"/>
        </w:rPr>
        <w:t xml:space="preserve">3) с утвержденной проектной документацией лесного участка.</w:t>
      </w:r>
    </w:p>
    <w:p>
      <w:pPr>
        <w:spacing w:after="120"/>
        <w:ind w:firstLine="709"/>
      </w:pPr>
      <w:r>
        <w:rPr>
          <w:sz w:val="24"/>
        </w:rPr>
        <w:t xml:space="preserve">3. В случае, если в решении о предоставлении находящегося в государственной или муниципальной собственности земельного участка содержится указание на выбранные в соответствии с Земельным кодексом Российской Федерации основной вид или виды разрешенного использования земельного участка, орган регистрации прав одновременно с государственной регистрацией права (ограничения права) на такой земельный участок осуществляет внесение в Единый государственный реестр недвижимости сведений о выбранных виде или видах разрешенного использования земельного участка (без представления соответствующего заявления).</w:t>
      </w:r>
    </w:p>
    <w:p>
      <w:pPr>
        <w:spacing w:after="120"/>
        <w:ind w:firstLine="709"/>
      </w:pPr>
      <w:r>
        <w:rPr>
          <w:sz w:val="24"/>
        </w:rPr>
        <w:t xml:space="preserve">4. Государственный кадастровый учет в связи с выбором вида или видов разрешенного использования земельного участка, предоставленного в соответствии с Федеральным законом от 1 мая 2016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Федерации", осуществляется в порядке, предусмотренном указанным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60.3</dc:title>
  <dc:creator>АРБИТРАЖ! · arbi.ru</dc:creator>
  <cp:lastModifiedBy>АРБИТРАЖ!</cp:lastModifiedBy>
  <dcterms:created xsi:type="dcterms:W3CDTF">2026-10-22T06:40:06.944Z</dcterms:created>
</cp:coreProperties>
</file>