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67.1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Ответственность при осуществлении государственного кадастрового учета недвижимого имущества и государственной регистрации прав на недвижимое имущество, ведении единого государственного реестра недвижимости, предоставлении сведений из единого государственного реестра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449-ФЗ)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обстоятельства, указанные в пунктах 2 , 3 , 6 - 9 части 1 статьи 66 настоящего Федерального закона, произошли в результате действий или бездействия публично-правовой компании либо лиц, состоящих в трудовых или иных отношениях с такой публично-правовой компанией, ответственность за их последствия несут такая публично-правовая компания или указанные лица.</w:t>
      </w:r>
    </w:p>
    <w:p>
      <w:pPr>
        <w:spacing w:after="120"/>
        <w:ind w:firstLine="709"/>
      </w:pPr>
      <w:r>
        <w:rPr>
          <w:sz w:val="24"/>
        </w:rPr>
        <w:t xml:space="preserve">2. В случае компенсации публично-правовой компанией ущерба, причиненного личности или имуществу гражданина либо имуществу юридического лица правомерными действиями, такая публично-правовая компания обладает правом, предусмотренным частью 4 статьи 66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67.1</dc:title>
  <dc:creator>АРБИТРАЖ! · arbi.ru</dc:creator>
  <cp:lastModifiedBy>АРБИТРАЖ!</cp:lastModifiedBy>
  <dcterms:created xsi:type="dcterms:W3CDTF">2026-10-22T22:33:43.087Z</dcterms:created>
</cp:coreProperties>
</file>