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71.2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Заключительные и переходные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25.05.2026 N 155-ФЗ)</w:t>
      </w:r>
    </w:p>
    <w:p>
      <w:pPr>
        <w:spacing w:after="120"/>
        <w:ind w:firstLine="709"/>
      </w:pPr>
      <w:r>
        <w:rPr>
          <w:sz w:val="24"/>
        </w:rPr>
        <w:t xml:space="preserve">1. Государственный кадастровый учет и (или) государственная регистрация прав на здания, строения, сооружения, объекты незавершенного строительства, которые образованы в результате предусмотренных Федеральным законом от 27 февраля 2003 года N 29-ФЗ "Об особенностях управления и распоряжения имуществом железнодорожного транспорта" раздела имущественного комплекса, права на который зарегистрированы в Едином государственном реестре недвижимости, либо выдела из его состава отдельных зданий, строений, сооружений, объектов незавершенного строительства, осуществляются на основании следующих документов:</w:t>
      </w:r>
    </w:p>
    <w:p>
      <w:pPr>
        <w:spacing w:after="120"/>
        <w:ind w:firstLine="709"/>
      </w:pPr>
      <w:r>
        <w:rPr>
          <w:sz w:val="24"/>
        </w:rPr>
        <w:t xml:space="preserve">1) решение собственника, содержащее сведения, предусмотренные Федеральным законом от 27 февраля 2003 года N 29-ФЗ "Об особенностях управления и распоряжения имуществом железнодорожного транспорта";</w:t>
      </w:r>
    </w:p>
    <w:p>
      <w:pPr>
        <w:spacing w:after="120"/>
        <w:ind w:firstLine="709"/>
      </w:pPr>
      <w:r>
        <w:rPr>
          <w:sz w:val="24"/>
        </w:rPr>
        <w:t xml:space="preserve">2) технический план, содержащий сведения о каждом одновременно образуемом здании, строении, сооружении, объекте незавершенного строительства и об имущественном комплексе, сохраняющемся с измененными характеристиками (в случае выдела из состава имущественного комплекса отдельных зданий, строений, сооружений, объектов незавершенного строительства), а также о зданиях, строениях, сооружениях, об объектах незавершенного строительства, входивших в состав такого имущественного комплекса и ранее образованных из его состава либо прекративших свое существование.</w:t>
      </w:r>
    </w:p>
    <w:p>
      <w:pPr>
        <w:spacing w:after="120"/>
        <w:ind w:firstLine="709"/>
      </w:pPr>
      <w:r>
        <w:rPr>
          <w:sz w:val="24"/>
        </w:rPr>
        <w:t xml:space="preserve">2. В целях осуществления государственного кадастрового учета и (или) государственной регистрации прав на объекты, указанные в части 1 настоящей статьи, представление документов, подтверждающих ввод в эксплуатацию зданий, строений, сооружений, а также разрешений на их строительство не требуется, при этом:</w:t>
      </w:r>
    </w:p>
    <w:p>
      <w:pPr>
        <w:spacing w:after="120"/>
        <w:ind w:firstLine="709"/>
      </w:pPr>
      <w:r>
        <w:rPr>
          <w:sz w:val="24"/>
        </w:rPr>
        <w:t xml:space="preserve">1) количество зданий, строений, сооружений, объектов незавершенного строительства, указанных в техническом плане, не может отличаться от количества зданий, строений, сооружений, объектов незавершенного строительства, входящих (входивших) в состав имущественного комплекса, за исключением случая, если это отличие обусловлено исключением из состава имущественного комплекса движимых вещей и неотделимых улучшений земельного участка, сведения о которых в соответствии с ранее действовавшим законодательством были внесены в Единый государственный реестр недвижимости;</w:t>
      </w:r>
    </w:p>
    <w:p>
      <w:pPr>
        <w:spacing w:after="120"/>
        <w:ind w:firstLine="709"/>
      </w:pPr>
      <w:r>
        <w:rPr>
          <w:sz w:val="24"/>
        </w:rPr>
        <w:t xml:space="preserve">2) несоответствие характеристик здания, строения, сооружения, объекта незавершенного строительства, указанных в техническом плане и в документах, содержащих описание имущественного комплекса, не является основанием для приостановления осуществления их государственного кадастрового учета и (или) государственной регистрации прав на них. В техническом плане приводится обоснование несоответствия указанных характеристик, которое может быть подготовлено на основании сведений, представленных собственником имущественного комплекса.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71.2</dc:title>
  <dc:creator>АРБИТРАЖ! · arbi.ru</dc:creator>
  <cp:lastModifiedBy>АРБИТРАЖ!</cp:lastModifiedBy>
  <dcterms:created xsi:type="dcterms:W3CDTF">2026-10-22T23:05:07.335Z</dcterms:created>
</cp:coreProperties>
</file>