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обязать орган регистрации недвижимости возобновить регистрацию договора аренды, заключенного на срок не менее года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снесенное здание, прекращение права собственности на которое не зарегистрировано</w:t>
      </w:r>
    </w:p>
    <w:p>
      <w:pPr>
        <w:spacing w:after="120"/>
        <w:ind w:firstLine="709"/>
      </w:pPr>
      <w:r>
        <w:rPr>
          <w:sz w:val="24"/>
        </w:rPr>
        <w:t xml:space="preserve">1. Настоящий Федеральный закон регулирует отношения, возникающие в связи с осуществлением на территории Российской Федерации государственной регистрации прав на недвижимое имущество и сделок с ним, подлежащих в соответствии с законодательством Российской Федерации государственной регистрации, государственного кадастрового учета недвижимого имущества, подлежащего такому учету согласно настоящему Федеральному закону, а также ведением Единого государственного реестра недвижимости и предоставлением предусмотренных настоящим Федеральным законом сведений, содержащихся в Едином государственном реестре недвижимости.</w:t>
      </w:r>
    </w:p>
    <w:p>
      <w:pPr>
        <w:spacing w:after="120"/>
        <w:ind w:firstLine="709"/>
      </w:pPr>
      <w:r>
        <w:rPr>
          <w:sz w:val="24"/>
        </w:rPr>
        <w:t xml:space="preserve">2. Единый государственный реестр недвижимости является сводом достоверных систематизированных сведений об учтенном в соответствии с настоящим Федеральным законом недвижимом имуществе, о зарегистрированных правах на такое недвижимое имущество, основаниях их возникновения, правообладателях, а также иных установленных в соответствии с настоящим Федеральным законом сведений.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регистрация прав на недвижимое имущество - 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 (далее - государственная регистрация прав).</w:t>
      </w:r>
    </w:p>
    <w:p>
      <w:pPr>
        <w:spacing w:after="120"/>
        <w:ind w:firstLine="709"/>
      </w:pPr>
      <w:r>
        <w:rPr>
          <w:sz w:val="24"/>
        </w:rPr>
        <w:t xml:space="preserve">4. Государственная регистрация прав осуществляется посредством внесения в Единый государственный реестр недвижимости записи о праве на недвижимое имущество, сведения о котором внесены в Единый государственный реестр недвижимости. Государственная регистрация перехода права на объект недвижимости, ограничения права на объект недвижимости, обременения объекта недвижимости или сделки с объектом недвижимости проводится при условии наличия государственной регистрации права на данный объект в Едином государственном реестре недвижимости, если иное не установлено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5 ст. 1 см. Постановление КС РФ от 28.01.2025 N 3-П.</w:t>
      </w:r>
    </w:p>
    <w:p>
      <w:pPr>
        <w:spacing w:after="120"/>
        <w:ind w:firstLine="709"/>
      </w:pPr>
      <w:r>
        <w:rPr>
          <w:sz w:val="24"/>
        </w:rPr>
        <w:t xml:space="preserve">5.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права. Зарегистрированное в Едином государственном реестре недвижимости право на недвижимое имущество может быть оспорено только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Государственной регистрации подлежат право собственности и другие вещные права на недвижимое имущество и сделки с ним в соответствии со статьями 130 , 131 , 132 , 133.1 и 164 Гражданского кодекса Российской Федерации. В случаях, установленных федеральным законом, государственной регистрации подлежат возникающие, в том числе на основании договора, либо акта органа государственной власти, либо акта органа местного самоуправления, ограничения прав и обременения недвижимого имущества, в частности сервитут, ипотека, доверительное управление, аренда, наем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7. Государственный кадастровый учет недвижимого имущества - внесение в Единый государственный реестр недвижимости сведений о земельных участках, зданиях, сооружениях, помещениях, машино-местах, об объектах незавершенного строительства, о единых недвижимых комплексах, а в случаях, установленных федеральным законом, и об иных объектах, которые прочно связаны с землей, то есть перемещение которых без несоразмерного ущерба их назначению невозможно (далее также - объекты недвижимости), которые подтверждают существование такого объекта недвижимости с характеристиками, позволяющими определить его в качестве индивидуально-определенной вещи, или подтверждают прекращение его существования, а также иных предусмотренных настоящим Федеральным законом сведений об объектах недвижимости (далее - государственный кадастровый учет).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Положения настоящего Федерального закона не применяются к государственному учету и государственной регистрации прав на воздушные и морские суда, суда внутреннего плавания, участки недр.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</dc:title>
  <dc:creator>АРБИТРАЖ! · arbi.ru</dc:creator>
  <cp:lastModifiedBy>АРБИТРАЖ!</cp:lastModifiedBy>
  <dcterms:created xsi:type="dcterms:W3CDTF">2026-10-22T23:04:48.984Z</dcterms:created>
</cp:coreProperties>
</file>