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Исполнительное производство осуществляется на принципах:</w:t>
      </w:r>
    </w:p>
    <w:p>
      <w:pPr>
        <w:spacing w:after="120"/>
        <w:ind w:firstLine="709"/>
      </w:pPr>
      <w:r>
        <w:rPr>
          <w:sz w:val="24"/>
        </w:rPr>
        <w:t xml:space="preserve">1) законности;</w:t>
      </w:r>
    </w:p>
    <w:p>
      <w:pPr>
        <w:spacing w:after="120"/>
        <w:ind w:firstLine="709"/>
      </w:pPr>
      <w:r>
        <w:rPr>
          <w:sz w:val="24"/>
        </w:rPr>
        <w:t xml:space="preserve">2) своевременности совершения исполнительных действий и применения мер принудительного исполнения;</w:t>
      </w:r>
    </w:p>
    <w:p>
      <w:pPr>
        <w:spacing w:after="120"/>
        <w:ind w:firstLine="709"/>
      </w:pPr>
      <w:r>
        <w:rPr>
          <w:sz w:val="24"/>
        </w:rPr>
        <w:t xml:space="preserve">3) уважения чести и достоинства гражданина;</w:t>
      </w:r>
    </w:p>
    <w:p>
      <w:pPr>
        <w:spacing w:after="120"/>
        <w:ind w:firstLine="709"/>
      </w:pPr>
      <w:r>
        <w:rPr>
          <w:sz w:val="24"/>
        </w:rPr>
        <w:t xml:space="preserve">4) неприкосновенности минимума имущества, необходимого для существования должника-гражданина и членов его семьи, в том числе сохранения заработной платы и иных доходов должника-гражданина ежемесячно в размере прожиточного минимума трудоспособного населения в целом по Российской Федерации ( прожиточного минимума 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29.06.2021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соотносимости объема требований взыскателя и мер принудительного исполнения.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</dc:title>
  <dc:creator>АРБИТРАЖ! · arbi.ru</dc:creator>
  <cp:lastModifiedBy>АРБИТРАЖ!</cp:lastModifiedBy>
  <dcterms:created xsi:type="dcterms:W3CDTF">2026-10-22T22:32:27.535Z</dcterms:created>
</cp:coreProperties>
</file>