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по ч. 1 ст. 17.15 КоАП РФ за неисполнение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денежные средства, неправомерно списанные банком по исполнительному документу или постановлению судебного пристава-исполнителя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законом, требования, содержащиеся в судебных актах, актах других органов и должностных лиц, исполняются органами, организациями, в том числе государственными органами, органами местного самоуправления, банками и иными кредитными организациями, должностными лицами и гражданами.</w:t>
      </w:r>
    </w:p>
    <w:p>
      <w:pPr>
        <w:spacing w:after="120"/>
        <w:ind w:firstLine="709"/>
      </w:pPr>
      <w:r>
        <w:rPr>
          <w:sz w:val="24"/>
        </w:rPr>
        <w:t xml:space="preserve">2. Указанные в части 1 настоящей статьи органы, организации и граждане исполняют требования, содержащиеся в судебных актах, актах других органов и должностных лиц, на основании исполнительных документов, указанных в статье 12 настоящего Федерального закона, в порядке, установленном настоящим Федеральным законом и иными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</dc:title>
  <dc:creator>АРБИТРАЖ! · arbi.ru</dc:creator>
  <cp:lastModifiedBy>АРБИТРАЖ!</cp:lastModifiedBy>
  <dcterms:created xsi:type="dcterms:W3CDTF">2026-10-22T19:06:44.576Z</dcterms:created>
</cp:coreProperties>
</file>