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26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4. Извещения и вызовы в исполнительном производстве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Если повестка, иное извещение доставляются по почте или лицом, которому судебный пристав-исполнитель поручил их доставить, то дата и время их доставления адресату фиксируются на документе, подлежащем возврату в подразделение судебных приставов.</w:t>
      </w:r>
    </w:p>
    <w:p>
      <w:pPr>
        <w:spacing w:after="120"/>
        <w:ind w:firstLine="709"/>
      </w:pPr>
      <w:r>
        <w:rPr>
          <w:sz w:val="24"/>
        </w:rPr>
        <w:t xml:space="preserve">2. Если повестка, иное извещение доставляются иным видом связи, то дата и время их доставления адресату фиксируются установленным способом.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26</dc:title>
  <dc:creator>АРБИТРАЖ! · arbi.ru</dc:creator>
  <cp:lastModifiedBy>АРБИТРАЖ!</cp:lastModifiedBy>
  <dcterms:created xsi:type="dcterms:W3CDTF">2026-10-22T22:02:27.532Z</dcterms:created>
</cp:coreProperties>
</file>