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66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7. Исполнительные действия. Меры принудительного исполнения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Судебный пристав-исполнитель вправе обратиться в регистрирующий орган для проведения в установленном порядке государственной регистрации права собственности должника на имущество, иного имущественного права, принадлежащего ему и подлежащего государственной регистрации, в целях последующего обращения взыскания на указанное имущество или имущественное право при отсутствии или недостаточности у должника иного имущества или имущественного права, на которое может быть обращено взыскание.</w:t>
      </w:r>
    </w:p>
    <w:p>
      <w:pPr>
        <w:spacing w:after="120"/>
        <w:ind w:firstLine="709"/>
      </w:pPr>
      <w:r>
        <w:rPr>
          <w:sz w:val="24"/>
        </w:rPr>
        <w:t xml:space="preserve">2. Судебный пристав-исполнитель обращается в регистрирующий орган для проведения государственной регистрации прав собственности взыскателя на имущество, иное имущественное право, зарегистрированное на должника, в случаях, когда:</w:t>
      </w:r>
    </w:p>
    <w:p>
      <w:pPr>
        <w:spacing w:after="120"/>
        <w:ind w:firstLine="709"/>
      </w:pPr>
      <w:r>
        <w:rPr>
          <w:sz w:val="24"/>
        </w:rPr>
        <w:t xml:space="preserve">1) требование государственной регистрации содержится в судебном акте;</w:t>
      </w:r>
    </w:p>
    <w:p>
      <w:pPr>
        <w:spacing w:after="120"/>
        <w:ind w:firstLine="709"/>
      </w:pPr>
      <w:r>
        <w:rPr>
          <w:sz w:val="24"/>
        </w:rPr>
        <w:t xml:space="preserve">2) судебный акт содержит указание на то, что имущество или имущественное право принадлежит взыскателю;</w:t>
      </w:r>
    </w:p>
    <w:p>
      <w:pPr>
        <w:spacing w:after="120"/>
        <w:ind w:firstLine="709"/>
      </w:pPr>
      <w:r>
        <w:rPr>
          <w:sz w:val="24"/>
        </w:rPr>
        <w:t xml:space="preserve">3) взыскатель по предложению судебного пристава-исполнителя оставил за собой нереализованное имущество или имущественное право должника.</w:t>
      </w:r>
    </w:p>
    <w:p>
      <w:pPr>
        <w:spacing w:after="120"/>
        <w:ind w:firstLine="709"/>
      </w:pPr>
      <w:r>
        <w:rPr>
          <w:sz w:val="24"/>
        </w:rPr>
        <w:t xml:space="preserve">3. Постановление судебного пристава-исполнителя о проведении государственной регистрации права собственности на имущество, иного имущественного права должника утверждается старшим судебным приставом или его заместителем.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Для государственной регистрации прав должника на недвижимое имущество судебный пристав-исполнитель представляет в регистрирующий орган два экземпляра постановления о проведении государственной регистрации права собственности на имущество, иного имущественного права должника, два экземпляра документа, устанавливающего право должника на недвижимое имущество, кадастровый паспорт объекта недвижимости и другие необходимые документы.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13.05.2008 N 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Для государственной регистрации прав должника на движимое имущество судебный пристав-исполнитель представляет в регистрирующий орган два экземпляра постановления о проведении государственной регистрации имущественного права должника и другие необходимые документы.</w:t>
      </w:r>
    </w:p>
    <w:p>
      <w:pPr>
        <w:spacing w:after="120"/>
        <w:ind w:firstLine="709"/>
      </w:pPr>
      <w:r>
        <w:rPr>
          <w:sz w:val="24"/>
        </w:rPr>
        <w:t xml:space="preserve">6. Расходы по регистрации и оформлению документов для государственной регистрации имущества, иного имущественного права должника относятся к расходам по совершению исполнительных действий.</w:t>
      </w:r>
    </w:p>
    <w:p>
      <w:pPr>
        <w:spacing w:after="120"/>
        <w:ind w:firstLine="709"/>
      </w:pPr>
      <w:r>
        <w:rPr>
          <w:sz w:val="24"/>
        </w:rPr>
        <w:t xml:space="preserve">7. Документ о государственной регистрации права собственности на имущество, иного имущественного права выдается правообладателю или судебному приставу-исполнителю. Если документ о государственной регистрации выдается правообладателю, то он должен направить копию указанного документа судебному приставу-исполнителю.</w:t>
      </w:r>
    </w:p>
    <w:p>
      <w:pPr>
        <w:spacing w:after="120"/>
        <w:ind w:firstLine="709"/>
      </w:pPr>
      <w:r>
        <w:rPr>
          <w:sz w:val="24"/>
        </w:rPr>
        <w:t xml:space="preserve">8. Копия документа о государственной регистрации права собственности на имущество, иного имущественного права остается в материалах исполнительного 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66</dc:title>
  <dc:creator>АРБИТРАЖ! · arbi.ru</dc:creator>
  <cp:lastModifiedBy>АРБИТРАЖ!</cp:lastModifiedBy>
  <dcterms:created xsi:type="dcterms:W3CDTF">2026-10-22T22:45:59.252Z</dcterms:created>
</cp:coreProperties>
</file>