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рамках исполнительного производства взыскание может быть обращено на принадлежащие должнику имущественные права, в том числе:</w:t>
      </w:r>
    </w:p>
    <w:p>
      <w:pPr>
        <w:spacing w:after="120"/>
        <w:ind w:firstLine="709"/>
      </w:pPr>
      <w:r>
        <w:rPr>
          <w:sz w:val="24"/>
        </w:rPr>
        <w:t xml:space="preserve">1) право требования должника к третьему лицу, не исполнившему денежное обязательство перед ним как кредитором (далее - дебитор), в том числе право требования по оплате фактически поставленных должником товаров, выполненных работ или оказанных услуг, по найму, аренде и другим (далее - дебиторская задолженность);</w:t>
      </w:r>
    </w:p>
    <w:p>
      <w:pPr>
        <w:spacing w:after="120"/>
        <w:ind w:firstLine="709"/>
      </w:pPr>
      <w:r>
        <w:rPr>
          <w:sz w:val="24"/>
        </w:rPr>
        <w:t xml:space="preserve">2) право требования в качестве взыскателя по исполнительному документу;</w:t>
      </w:r>
    </w:p>
    <w:p>
      <w:pPr>
        <w:spacing w:after="120"/>
        <w:ind w:firstLine="709"/>
      </w:pPr>
      <w:r>
        <w:rPr>
          <w:sz w:val="24"/>
        </w:rPr>
        <w:t xml:space="preserve">3) право на аренду недвижимого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03.12.2011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исключительное право на результат интеллектуальной деятельности и средство индивидуализации, за исключением случаев , когда в соответствии с законодательством Российской Федерации на них не может быть обращено взыскание;</w:t>
      </w:r>
    </w:p>
    <w:p>
      <w:pPr>
        <w:spacing w:after="120"/>
        <w:ind w:firstLine="709"/>
      </w:pPr>
      <w:r>
        <w:rPr>
          <w:sz w:val="24"/>
        </w:rPr>
        <w:t xml:space="preserve">5) право требования по договорам об отчуждении и использовании исключительного права на результат интеллектуальной деятельности и средство индивидуализации;</w:t>
      </w:r>
    </w:p>
    <w:p>
      <w:pPr>
        <w:spacing w:after="120"/>
        <w:ind w:firstLine="709"/>
      </w:pPr>
      <w:r>
        <w:rPr>
          <w:sz w:val="24"/>
        </w:rPr>
        <w:t xml:space="preserve">6) принадлежащее лицензиату право использования результата интеллектуальной деятельности и средства индивидуализации;</w:t>
      </w:r>
    </w:p>
    <w:p>
      <w:pPr>
        <w:spacing w:after="120"/>
        <w:ind w:firstLine="709"/>
      </w:pPr>
      <w:r>
        <w:rPr>
          <w:sz w:val="24"/>
        </w:rPr>
        <w:t xml:space="preserve">7) иные принадлежащие должнику имущественные права.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03.12.2011 N 389-ФЗ)</w:t>
      </w:r>
    </w:p>
    <w:p>
      <w:pPr>
        <w:spacing w:after="120"/>
        <w:ind w:firstLine="709"/>
      </w:pPr>
      <w:r>
        <w:rPr>
          <w:sz w:val="24"/>
        </w:rPr>
        <w:t xml:space="preserve">2. Взыскание на принадлежащие должнику исключительные права на результаты интеллектуальной деятельности и средства индивидуализации, право использования результатов интеллектуальной деятельности и средств индивидуализации, а также на имущественные права в отношении третьих лиц обращается с соблюдением правил, установленных Гражданским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03.12.2011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Обращение взыскания на принадлежащее должнику право получения денежных средств производится в порядке, установленном статьей 76 настоящего Федерального закона для обращения взыскания на дебиторскую задолженность.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03.12.2011 N 389-ФЗ)</w:t>
      </w:r>
    </w:p>
    <w:p>
      <w:pPr>
        <w:spacing w:after="120"/>
        <w:ind w:firstLine="709"/>
      </w:pPr>
      <w:r>
        <w:rPr>
          <w:sz w:val="24"/>
        </w:rPr>
        <w:t xml:space="preserve">3. Правительством Российской Федерации могут быть установлены особенности обращения взыскания на отдельные виды имущественных прав.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75</dc:title>
  <dc:creator>АРБИТРАЖ! · arbi.ru</dc:creator>
  <cp:lastModifiedBy>АРБИТРАЖ!</cp:lastModifiedBy>
  <dcterms:created xsi:type="dcterms:W3CDTF">2026-10-22T19:06:14.701Z</dcterms:created>
</cp:coreProperties>
</file>