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88.1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441-ФЗ)</w:t>
      </w:r>
    </w:p>
    <w:p>
      <w:pPr>
        <w:spacing w:after="120"/>
        <w:ind w:firstLine="709"/>
      </w:pPr>
      <w:r>
        <w:rPr>
          <w:sz w:val="24"/>
        </w:rPr>
        <w:t xml:space="preserve">1. По заявлению взыскателя или должника либо по собственной инициативе судебный пристав-исполнитель производит зачет встречных однородных требований, подтвержденных исполнительными документами о взыскании денежных средств, на основании которых возбуждены исполнительные производства, за исключением случаев, установленных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О зачете встречных однородных требований судебный пристав-исполнитель выносит постановление, которое утверждается старшим судебным приставом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3. Копия постановления, указанного в части 2 настоящей статьи, направляется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88.1</dc:title>
  <dc:creator>АРБИТРАЖ! · arbi.ru</dc:creator>
  <cp:lastModifiedBy>АРБИТРАЖ!</cp:lastModifiedBy>
  <dcterms:created xsi:type="dcterms:W3CDTF">2026-10-22T23:05:11.356Z</dcterms:created>
</cp:coreProperties>
</file>