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Торги должны быть проведены в двухмесячный срок со дня получения организатором торгов имущества для реализации.</w:t>
      </w:r>
    </w:p>
    <w:p>
      <w:pPr>
        <w:spacing w:after="120"/>
        <w:ind w:firstLine="709"/>
      </w:pPr>
      <w:r>
        <w:rPr>
          <w:sz w:val="24"/>
        </w:rPr>
        <w:t xml:space="preserve">2. Порядок проведения торгов устанавливается Гражданским кодексом Российской Федерации, настоящим Федеральным законом, иными федеральными законами и постановлениями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Извещение о проведении торгов размещается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и на официальном сайте Федеральной службы судебных приставов в сети "Интернет". Информация о проведении торгов должна быть доступна для ознакомления всем заинтересованным лицам без взимания платы.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06.12.2011 N 401-ФЗ; в ред. Федеральных законов от 08.03.2015 N 57-ФЗ , от 30.12.2015 N 444-ФЗ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90</dc:title>
  <dc:creator>АРБИТРАЖ! · arbi.ru</dc:creator>
  <cp:lastModifiedBy>АРБИТРАЖ!</cp:lastModifiedBy>
  <dcterms:created xsi:type="dcterms:W3CDTF">2026-10-22T23:39:11.186Z</dcterms:created>
</cp:coreProperties>
</file>