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106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13. Исполнение требований неимущественного характера, содержащихся в исполнительных документах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Содержащееся в исполнительном документе требование о восстановлении на работе незаконно уволенного или переведенного работника считается фактически исполненным, если взыскатель допущен к исполнению прежних трудовых обязанностей и отменен приказ (распоряжение) об увольнении или о переводе взыскателя.</w:t>
      </w:r>
    </w:p>
    <w:p>
      <w:pPr>
        <w:spacing w:after="120"/>
        <w:ind w:firstLine="709"/>
      </w:pPr>
      <w:r>
        <w:rPr>
          <w:sz w:val="24"/>
        </w:rPr>
        <w:t xml:space="preserve">2. В случае неисполнения должником требования о восстановлении на работе уволенного или переведенного работника судебный пристав-исполнитель принимает меры, предусмотренные статьей 105 настоящего Федерального закона, и разъясняет взыскателю его право обратиться в суд или другой орган, принявший решение о восстановлении его на работе, с заявлением о взыскании с должника среднего заработка за время вынужденного прогула или разницы в заработке за все время со дня вынесения решения о восстановлении на работе по день исполнения исполнительного документа.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106</dc:title>
  <dc:creator>АРБИТРАЖ! · arbi.ru</dc:creator>
  <cp:lastModifiedBy>АРБИТРАЖ!</cp:lastModifiedBy>
  <dcterms:created xsi:type="dcterms:W3CDTF">2026-10-22T23:29:37.549Z</dcterms:created>
</cp:coreProperties>
</file>