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Расходы по совершению исполнительных действий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Расходы по совершению исполнительных действий возмещаются федеральному бюджету, взыскателю и лицам, понесшим указанные расходы, за счет должника.</w:t>
      </w:r>
    </w:p>
    <w:p>
      <w:pPr>
        <w:spacing w:after="120"/>
        <w:ind w:firstLine="709"/>
      </w:pPr>
      <w:r>
        <w:rPr>
          <w:sz w:val="24"/>
        </w:rPr>
        <w:t xml:space="preserve">2. В случае прекращения исполнительного производства по основаниям, установленным пунктами 4 , 5 , 10 и 11 части 2 статьи 43 настоящего Федерального закона, расходы по совершению исполнительных действий относятся на счет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07.03.2018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Взыскание с должника расходов по совершению исполнительных действий, отнесение их на счет федерального бюджета в случаях, предусмотренных настоящим Федеральным законом, а также возмещение расходов лицу, которое их понесло, производятся на основании постановления судебного пристава-исполнителя, утвержденного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117</dc:title>
  <dc:creator>АРБИТРАЖ! · arbi.ru</dc:creator>
  <cp:lastModifiedBy>АРБИТРАЖ!</cp:lastModifiedBy>
  <dcterms:created xsi:type="dcterms:W3CDTF">2026-10-22T05:38:40.818Z</dcterms:created>
</cp:coreProperties>
</file>