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Жалоба, поданная в порядке подчиненности, должна быть рассмотрена должностным лицом службы судебных приставов, правомочным рассматривать указанную жалобу, в течение десяти дней со дня ее поступления.</w:t>
      </w:r>
    </w:p>
    <w:p>
      <w:pPr>
        <w:spacing w:after="120"/>
        <w:ind w:firstLine="709"/>
      </w:pPr>
      <w:r>
        <w:rPr>
          <w:sz w:val="24"/>
        </w:rPr>
        <w:t xml:space="preserve">2. Принятие судом к рассмотрению заявления об оспаривании постановления Федеральной службы судебных приставов, а также постановления, действий (бездействия) должностного лица службы судебных приставов приостанавливает рассмотрение жалобы, поданной в порядке подчиненности.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126</dc:title>
  <dc:creator>АРБИТРАЖ! · arbi.ru</dc:creator>
  <cp:lastModifiedBy>АРБИТРАЖ!</cp:lastModifiedBy>
  <dcterms:created xsi:type="dcterms:W3CDTF">2026-10-22T22:00:53.382Z</dcterms:created>
</cp:coreProperties>
</file>