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рекламе, сообщающей о проведении конкурса, игры или иного подобного мероприятия, условием участия в которых является приобретение определенного товара (далее - стимулирующее мероприятие),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сроки проведения такого мероприятия;</w:t>
      </w:r>
    </w:p>
    <w:p>
      <w:pPr>
        <w:spacing w:after="120"/>
        <w:ind w:firstLine="709"/>
      </w:pPr>
      <w:r>
        <w:rPr>
          <w:sz w:val="24"/>
        </w:rPr>
        <w:t xml:space="preserve">2) источник информации об организаторе такого мероприятия, о правилах его проведения, количестве призов или выигрышей по результатам такого мероприятия, сроках, месте и порядке их получения.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9</dc:title>
  <dc:creator>АРБИТРАЖ! · arbi.ru</dc:creator>
  <cp:lastModifiedBy>АРБИТРАЖ!</cp:lastModifiedBy>
  <dcterms:created xsi:type="dcterms:W3CDTF">2026-10-22T22:32:02.831Z</dcterms:created>
</cp:coreProperties>
</file>