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25.1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27.10.2025 N 393-ФЗ)</w:t>
      </w:r>
    </w:p>
    <w:p>
      <w:pPr>
        <w:spacing w:after="120"/>
        <w:ind w:firstLine="709"/>
      </w:pPr>
      <w:r>
        <w:rPr>
          <w:sz w:val="24"/>
        </w:rPr>
        <w:t xml:space="preserve">1. Реклама безалкогольных тонизирующих напитков (в том числе энергетических) не должна:</w:t>
      </w:r>
    </w:p>
    <w:p>
      <w:pPr>
        <w:spacing w:after="120"/>
        <w:ind w:firstLine="709"/>
      </w:pPr>
      <w:r>
        <w:rPr>
          <w:sz w:val="24"/>
        </w:rPr>
        <w:t xml:space="preserve">1) обращаться к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2) содержать информацию о наличии в таких напитках биологически активных добавок, витаминов.</w:t>
      </w:r>
    </w:p>
    <w:p>
      <w:pPr>
        <w:spacing w:after="120"/>
        <w:ind w:firstLine="709"/>
      </w:pPr>
      <w:r>
        <w:rPr>
          <w:sz w:val="24"/>
        </w:rPr>
        <w:t xml:space="preserve">2. Реклама безалкогольных тонизирующих напитков (в том числе энергетических) в каждом случае должна сопровождаться предупреждением о вреде их чрезмерного потребления. В рекламе, распространяемой в радиопрограммах, продолжительность такого предупреждения должна составлять не менее чем три секунды, в рекламе, распространяемой в телепрограммах, при кино- и видеообслуживании, - не менее чем пять секунд, и такому предупреждению должно быть отведено не менее чем семь процентов площади кадра, а в рекламе, распространяемой другими способами, - не менее чем семь процентов рекламной площади (пространства).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25.1</dc:title>
  <dc:creator>АРБИТРАЖ! · arbi.ru</dc:creator>
  <cp:lastModifiedBy>АРБИТРАЖ!</cp:lastModifiedBy>
  <dcterms:created xsi:type="dcterms:W3CDTF">2026-10-22T22:30:28.723Z</dcterms:created>
</cp:coreProperties>
</file>