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31.07.2020 N 259-ФЗ)</w:t>
      </w:r>
    </w:p>
    <w:p>
      <w:pPr>
        <w:spacing w:after="120"/>
        <w:ind w:firstLine="709"/>
      </w:pPr>
      <w:r>
        <w:rPr>
          <w:sz w:val="24"/>
        </w:rPr>
        <w:t xml:space="preserve">1. Реклама выпускаемых цифровых финансовых активов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лица, выпускающего цифровые финансовые активы;</w:t>
      </w:r>
    </w:p>
    <w:p>
      <w:pPr>
        <w:spacing w:after="120"/>
        <w:ind w:firstLine="709"/>
      </w:pPr>
      <w:r>
        <w:rPr>
          <w:sz w:val="24"/>
        </w:rPr>
        <w:t xml:space="preserve">2) адрес сайта в информационно-телекоммуникационной сети "Интернет", на котором осуществляется размещение лицом, выпускающим цифровые финансовые активы, решения о выпуске цифровых финансовых активов;</w:t>
      </w:r>
    </w:p>
    <w:p>
      <w:pPr>
        <w:spacing w:after="120"/>
        <w:ind w:firstLine="709"/>
      </w:pPr>
      <w:r>
        <w:rPr>
          <w:sz w:val="24"/>
        </w:rPr>
        <w:t xml:space="preserve">3) сведения о максимальной сумме, на которую могут приобрести цифровые финансовые активы лица, не являющиеся в соответствии с Федеральным законом от 22 апреля 1996 года N 39-ФЗ "О рынке ценных бумаг" квалифицированными инвесторами, или максимальной совокупной стоимости иных цифровых финансовых активов, которые могут быть переданы в качестве встречного предоставления для приобретения цифровых финансовых активов указанными лицами (в случае установления таких ограничений в соответствии с законодательством Российской Федерации о цифровых валютах и цифровых правах);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указание на то, что предлагаемые цифровые финансовые активы являются высокорискованными, их приобретение может привести к потере внесенных денежных средств в полном объеме, до совершения сделок с предлагаемыми цифровыми финансовыми активами следует ознакомиться с рисками, с которыми связано их приобретение.</w:t>
      </w:r>
    </w:p>
    <w:p>
      <w:pPr>
        <w:spacing w:after="120"/>
        <w:ind w:firstLine="709"/>
      </w:pPr>
      <w:r>
        <w:rPr>
          <w:sz w:val="24"/>
        </w:rPr>
        <w:t xml:space="preserve">2. Реклама цифровых финансовых активов не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обещание выплаты дохода по цифровым финансовым активам, за исключением дохода, обязанность выплаты которого предусмотрена решением о выпуске цифровых финансовых активов;</w:t>
      </w:r>
    </w:p>
    <w:p>
      <w:pPr>
        <w:spacing w:after="120"/>
        <w:ind w:firstLine="709"/>
      </w:pPr>
      <w:r>
        <w:rPr>
          <w:sz w:val="24"/>
        </w:rPr>
        <w:t xml:space="preserve">2) прогнозы роста курсовой стоимости выпускаемых цифровых финансовых активов.</w:t>
      </w:r>
    </w:p>
    <w:p>
      <w:pPr>
        <w:spacing w:after="120"/>
        <w:ind w:firstLine="709"/>
      </w:pPr>
      <w:r>
        <w:rPr>
          <w:sz w:val="24"/>
        </w:rPr>
        <w:t xml:space="preserve">3. Реклама выпускаемых цифровых финансовых активов не допускается до размещения в порядке, установленном законодательством Российской Федерации о цифровых валютах и цифровых правах, решения о выпуске цифровых финансовых активов.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29.1</dc:title>
  <dc:creator>АРБИТРАЖ! · arbi.ru</dc:creator>
  <cp:lastModifiedBy>АРБИТРАЖ!</cp:lastModifiedBy>
  <dcterms:created xsi:type="dcterms:W3CDTF">2026-10-23T00:20:55.797Z</dcterms:created>
</cp:coreProperties>
</file>