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рекламе, ст. 29.2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рекламе» № 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https://www.consultant.ru/document/cons_doc_LAW_58968/</w:t>
      </w:r>
    </w:p>
    <w:p>
      <w:pPr>
        <w:spacing w:after="120"/>
        <w:ind w:firstLine="709"/>
      </w:pPr>
      <w:r>
        <w:rPr>
          <w:sz w:val="24"/>
        </w:rPr>
        <w:t xml:space="preserve">Раздел: Глава 3. Особенности рекламы отдельных видов товаров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04.08.2026 N 283-ФЗ)</w:t>
      </w:r>
    </w:p>
    <w:p>
      <w:pPr>
        <w:spacing w:after="120"/>
        <w:ind w:firstLine="709"/>
      </w:pPr>
      <w:r>
        <w:rPr>
          <w:sz w:val="24"/>
        </w:rPr>
        <w:t xml:space="preserve">1. Реклама услуг по организации обращения цифровых валют должна содержать:</w:t>
      </w:r>
    </w:p>
    <w:p>
      <w:pPr>
        <w:spacing w:after="120"/>
        <w:ind w:firstLine="709"/>
      </w:pPr>
      <w:r>
        <w:rPr>
          <w:sz w:val="24"/>
        </w:rPr>
        <w:t xml:space="preserve">1) наименование лица, осуществляющего организацию обращения цифровых валют;</w:t>
      </w:r>
    </w:p>
    <w:p>
      <w:pPr>
        <w:spacing w:after="120"/>
        <w:ind w:firstLine="709"/>
      </w:pPr>
      <w:r>
        <w:rPr>
          <w:sz w:val="24"/>
        </w:rPr>
        <w:t xml:space="preserve">2) источник информации, подлежащей раскрытию в соответствии с законодательством Российской Федерации о цифровых валютах и цифровых правах;</w:t>
      </w:r>
    </w:p>
    <w:p>
      <w:pPr>
        <w:spacing w:after="120"/>
        <w:ind w:firstLine="709"/>
      </w:pPr>
      <w:r>
        <w:rPr>
          <w:sz w:val="24"/>
        </w:rPr>
        <w:t xml:space="preserve">3) указание на то, что предлагаемые цифровые валюты являются высокорискованными, их приобретение может привести к потере внесенных денежных средств в полном объеме, до совершения сделок (операций) с предлагаемыми цифровыми валютами следует ознакомиться с рисками, с которыми связано их приобретение;</w:t>
      </w:r>
    </w:p>
    <w:p>
      <w:pPr>
        <w:spacing w:after="120"/>
        <w:ind w:firstLine="709"/>
      </w:pPr>
      <w:r>
        <w:rPr>
          <w:sz w:val="24"/>
        </w:rPr>
        <w:t xml:space="preserve">4) указание на то, что в отношении сделок (операций) с цифровыми валютами установлены ограничения в соответствии с законодательством Российской Федерации о цифровых валютах и цифровых правах.</w:t>
      </w:r>
    </w:p>
    <w:p>
      <w:pPr>
        <w:spacing w:after="120"/>
        <w:ind w:firstLine="709"/>
      </w:pPr>
      <w:r>
        <w:rPr>
          <w:sz w:val="24"/>
        </w:rPr>
        <w:t xml:space="preserve">2. Реклама услуг по организации обращения цифровых валют не должна содержать:</w:t>
      </w:r>
    </w:p>
    <w:p>
      <w:pPr>
        <w:spacing w:after="120"/>
        <w:ind w:firstLine="709"/>
      </w:pPr>
      <w:r>
        <w:rPr>
          <w:sz w:val="24"/>
        </w:rPr>
        <w:t xml:space="preserve">1) указания на конкретные цифровые валюты;</w:t>
      </w:r>
    </w:p>
    <w:p>
      <w:pPr>
        <w:spacing w:after="120"/>
        <w:ind w:firstLine="709"/>
      </w:pPr>
      <w:r>
        <w:rPr>
          <w:sz w:val="24"/>
        </w:rPr>
        <w:t xml:space="preserve">2) гарантии или обещания в будущем эффективности деятельности (доходности вложений), в том числе основанные на реальных показателях в прошлом;</w:t>
      </w:r>
    </w:p>
    <w:p>
      <w:pPr>
        <w:spacing w:after="120"/>
        <w:ind w:firstLine="709"/>
      </w:pPr>
      <w:r>
        <w:rPr>
          <w:sz w:val="24"/>
        </w:rPr>
        <w:t xml:space="preserve">3) прогнозы изменения курсовой стоимости цифровых валют.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рекламе, ст. 29.2</dc:title>
  <dc:creator>АРБИТРАЖ! · arbi.ru</dc:creator>
  <cp:lastModifiedBy>АРБИТРАЖ!</cp:lastModifiedBy>
  <dcterms:created xsi:type="dcterms:W3CDTF">2026-10-22T21:58:43.497Z</dcterms:created>
</cp:coreProperties>
</file>