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 допускается реклама ценных бумаг, предложение которых неограниченному кругу лиц не предусмотрено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реклама имущественных прав, не удостоверенных ценными бумагами, под видом рекламы ценных бумаг.</w:t>
      </w:r>
    </w:p>
    <w:p>
      <w:pPr>
        <w:spacing w:after="120"/>
        <w:ind w:firstLine="709"/>
      </w:pPr>
      <w:r>
        <w:rPr>
          <w:sz w:val="24"/>
        </w:rPr>
        <w:t xml:space="preserve">3. Реклама ценных бумаг должна содержать сведения о лицах, обязавшихся по рекламируемым ценным бумагам.</w:t>
      </w:r>
    </w:p>
    <w:p>
      <w:pPr>
        <w:spacing w:after="120"/>
        <w:ind w:firstLine="709"/>
      </w:pPr>
      <w:r>
        <w:rPr>
          <w:sz w:val="24"/>
        </w:rPr>
        <w:t xml:space="preserve">4. Реклама эмиссионных ценных бумаг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эмитента;</w:t>
      </w:r>
    </w:p>
    <w:p>
      <w:pPr>
        <w:spacing w:after="120"/>
        <w:ind w:firstLine="709"/>
      </w:pPr>
      <w:r>
        <w:rPr>
          <w:sz w:val="24"/>
        </w:rPr>
        <w:t xml:space="preserve">2) источник информации, подлежащей раскрытию в соответствии с законодательством Российской Федерации о ценных бумагах.</w:t>
      </w:r>
    </w:p>
    <w:p>
      <w:pPr>
        <w:spacing w:after="120"/>
        <w:ind w:firstLine="709"/>
      </w:pPr>
      <w:r>
        <w:rPr>
          <w:sz w:val="24"/>
        </w:rPr>
        <w:t xml:space="preserve">5. Реклама ценных бумаг не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обещание выплаты дивидендов по акциям, а также дохода по иным ценным бумагам, за исключением дохода, обязанность выплаты которого предусмотрена решением о выпуске или дополнительном выпуске эмиссионных ценных бумаг, правилами доверительного управления паевыми инвестиционными фондами или правилами доверительного управления ипотечным покрытием либо зафиксирована в ценных бумагах;</w:t>
      </w:r>
    </w:p>
    <w:p>
      <w:pPr>
        <w:spacing w:after="120"/>
        <w:ind w:firstLine="709"/>
      </w:pPr>
      <w:r>
        <w:rPr>
          <w:sz w:val="24"/>
        </w:rPr>
        <w:t xml:space="preserve">2) прогнозы роста курсовой стоимости ценных бумаг.</w:t>
      </w:r>
    </w:p>
    <w:p>
      <w:pPr>
        <w:spacing w:after="120"/>
        <w:ind w:firstLine="709"/>
      </w:pPr>
      <w:r>
        <w:rPr>
          <w:sz w:val="24"/>
        </w:rPr>
        <w:t xml:space="preserve">6. Реклама эмиссионных ценных бумаг не допускается до осуществления регистрации их проспекта, за исключением случая, если в соответствии с федеральным законом для публичного размещения или публичного обращения эмиссионных ценных бумаг осуществление регистрации их проспекта не требуется.</w:t>
      </w:r>
    </w:p>
    <w:p>
      <w:pPr>
        <w:spacing w:after="120"/>
        <w:ind w:firstLine="709"/>
      </w:pPr>
      <w:r>
        <w:rPr>
          <w:sz w:val="24"/>
        </w:rPr>
        <w:t xml:space="preserve">7. На рекламу сберегательных сертификатов, инвестиционных паев паевых инвестиционных фондов и ипотечных сертификатов участия распространяются также требования статьи 28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8. Не допускается реклама биржевых облигаций до даты допуска их биржей к торгам в процессе размещения биржевых облигаций. Реклама биржевых облигаций, размещаемых в рамках программы облигаций, не допускается до регистрации биржей программы биржевых облигаций.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09.02.2007 N 18-ФЗ, в ред. Федеральных законов от 21.11.2011 N 327-ФЗ , от 21.07.2014 N 218-ФЗ , от 27.12.2018 N 514-ФЗ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29</dc:title>
  <dc:creator>АРБИТРАЖ! · arbi.ru</dc:creator>
  <cp:lastModifiedBy>АРБИТРАЖ!</cp:lastModifiedBy>
  <dcterms:created xsi:type="dcterms:W3CDTF">2026-10-22T16:08:18.944Z</dcterms:created>
</cp:coreProperties>
</file>