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194-ФЗ)</w:t>
      </w:r>
    </w:p>
    <w:p>
      <w:pPr>
        <w:spacing w:after="120"/>
        <w:ind w:firstLine="709"/>
      </w:pPr>
      <w:r>
        <w:rPr>
          <w:sz w:val="24"/>
        </w:rPr>
        <w:t xml:space="preserve">1. Реклама деятельности медиаторов по обеспечению проведения процедуры медиации, не прошедших обучения по дополнительной профессиональной программе в области медиации и не имеющих подтверждающих такое обучение документов, выданных соответствующей некоммерческой организацией, осуществляющей подготовку медиаторов,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Реклама деятельности медиаторов по обеспечению проведения процедуры медиации должна содержать сведения о документах, подтверждающих прохождение медиатором обучения по дополнительной профессиональной программе в области медиации, а реклама деятельности организации, осуществляющей деятельность по обеспечению проведения процедуры медиации, - источник информации об утвержденных этой организацией правилах проведения процедуры медиации, стандартах и правилах профессиональной деятельности медиаторов.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Реклама деятельности медиаторов по обеспечению проведения процедуры медиации не должна содержать утверждение о том, что применение процедуры медиации как способа урегулирования спора имеет преимущества перед разрешением спора в суде, арбитражном суде или третейском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30.1</dc:title>
  <dc:creator>АРБИТРАЖ! · arbi.ru</dc:creator>
  <cp:lastModifiedBy>АРБИТРАЖ!</cp:lastModifiedBy>
  <dcterms:created xsi:type="dcterms:W3CDTF">2026-10-22T16:47:21.783Z</dcterms:created>
</cp:coreProperties>
</file>