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рекламе, ст. 30.2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рекламе» № 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https://www.consultant.ru/document/cons_doc_LAW_58968/</w:t>
      </w:r>
    </w:p>
    <w:p>
      <w:pPr>
        <w:spacing w:after="120"/>
        <w:ind w:firstLine="709"/>
      </w:pPr>
      <w:r>
        <w:rPr>
          <w:sz w:val="24"/>
        </w:rPr>
        <w:t xml:space="preserve">Раздел: Глава 3. Особенности рекламы отдельных видов товаров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27.12.2018 N 531-ФЗ)</w:t>
      </w:r>
    </w:p>
    <w:p>
      <w:pPr>
        <w:spacing w:after="120"/>
        <w:ind w:firstLine="709"/>
      </w:pPr>
      <w:r>
        <w:rPr>
          <w:sz w:val="24"/>
        </w:rPr>
        <w:t xml:space="preserve">Реклама деятельности лиц, не получивших в соответствии с законодательством Российской Федерации право на осуществление функций постоянно действующего арбитражного учреждения, по осуществлению арбитража, включая деятельность по осуществлению арбитража третейским судом, образованным сторонами для разрешения конкретного спора, в том числе в информационно-телекоммуникационной сети "Интернет", не допускается.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рекламе, ст. 30.2</dc:title>
  <dc:creator>АРБИТРАЖ! · arbi.ru</dc:creator>
  <cp:lastModifiedBy>АРБИТРАЖ!</cp:lastModifiedBy>
  <dcterms:created xsi:type="dcterms:W3CDTF">2026-10-22T22:56:09.851Z</dcterms:created>
</cp:coreProperties>
</file>