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4. Саморегулирование в сфере рекламы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Саморегулируемая организация в сфере рекламы имеет право:</w:t>
      </w:r>
    </w:p>
    <w:p>
      <w:pPr>
        <w:spacing w:after="120"/>
        <w:ind w:firstLine="709"/>
      </w:pPr>
      <w:r>
        <w:rPr>
          <w:sz w:val="24"/>
        </w:rPr>
        <w:t xml:space="preserve">1) представлять законные интересы членов саморегулируемой организации в их отношениях с федеральными органами государственной власти, органами государственной власти субъектов Российской Федерации, органами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2) участвовать в рассмотрении антимонопольным органом дел, возбужденных по признакам нарушения членами саморегулируемой организации законодательства Российской Федерации о рекламе;</w:t>
      </w:r>
    </w:p>
    <w:p>
      <w:pPr>
        <w:spacing w:after="120"/>
        <w:ind w:firstLine="709"/>
      </w:pPr>
      <w:r>
        <w:rPr>
          <w:sz w:val="24"/>
        </w:rPr>
        <w:t xml:space="preserve">3) обжаловать в соответствующий суд нормативные правовые акты федеральных органов государственной власти, нормативные правовые акты органов государственной власти субъектов Российской Федерации, нормативные правовые акты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применять в отношении членов саморегулируемой организации предусмотренные учредительными и иными документами саморегулируемой организации меры ответственности, в том числе исключение из членов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5) разрабатывать, устанавливать и опубликовывать обязательные для выполнения всеми членами саморегулируемой организации правила профессиональной деятельности в сфере рекламы;</w:t>
      </w:r>
    </w:p>
    <w:p>
      <w:pPr>
        <w:spacing w:after="120"/>
        <w:ind w:firstLine="709"/>
      </w:pPr>
      <w:r>
        <w:rPr>
          <w:sz w:val="24"/>
        </w:rPr>
        <w:t xml:space="preserve">6) осуществлять контроль за профессиональной деятельностью членов саморегулируемой организации в части соблюдения требований настоящего Федерального закона и правил профессиональной деятельности в сфере рекламы, в том числе требований профессиональной этики;</w:t>
      </w:r>
    </w:p>
    <w:p>
      <w:pPr>
        <w:spacing w:after="120"/>
        <w:ind w:firstLine="709"/>
      </w:pPr>
      <w:r>
        <w:rPr>
          <w:sz w:val="24"/>
        </w:rPr>
        <w:t xml:space="preserve">7) рассматривать жалобы на действия члена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8) разрабатывать и устанавливать требования, предъявляемые к лицам, желающим вступить в саморегулируемую организацию;</w:t>
      </w:r>
    </w:p>
    <w:p>
      <w:pPr>
        <w:spacing w:after="120"/>
        <w:ind w:firstLine="709"/>
      </w:pPr>
      <w:r>
        <w:rPr>
          <w:sz w:val="24"/>
        </w:rPr>
        <w:t xml:space="preserve">9) осуществлять сбор, обработку и хранение информации о деятельности членов саморегулируемой организации, раскрытие которой осуществляется в форме отчетов в порядке и с периодичностью, которые установлены учредительными и иными документами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10) осуществлять ведение реестра лиц, являющихся членами саморегулируемой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32</dc:title>
  <dc:creator>АРБИТРАЖ! · arbi.ru</dc:creator>
  <cp:lastModifiedBy>АРБИТРАЖ!</cp:lastModifiedBy>
  <dcterms:created xsi:type="dcterms:W3CDTF">2026-10-22T22:29:51.833Z</dcterms:created>
</cp:coreProperties>
</file>