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Сведения , составляющие коммерческую, служебную и иную охраняемую законом тайну и полученные антимонопольным органом при осуществлении своих полномочий, не подлежат разглашению, за исключением предусмотренных федеральным законом случаев.</w:t>
      </w:r>
    </w:p>
    <w:p>
      <w:pPr>
        <w:spacing w:after="120"/>
        <w:ind w:firstLine="709"/>
      </w:pPr>
      <w:r>
        <w:rPr>
          <w:sz w:val="24"/>
        </w:rPr>
        <w:t xml:space="preserve">2. Разглашение сотрудниками антимонопольного органа сведений, составляющих коммерческую, служебную и иную охраняемую законом тайну, влечет за собой ответственность в соответствии с законодательством Российской Федерации об административных правонарушениях или уголовным законодательством Российской Федерации. Убытки, причиненные таким разглашением, подлежат возмещению в соответствии с гражданским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35</dc:title>
  <dc:creator>АРБИТРАЖ! · arbi.ru</dc:creator>
  <cp:lastModifiedBy>АРБИТРАЖ!</cp:lastModifiedBy>
  <dcterms:created xsi:type="dcterms:W3CDTF">2026-10-22T22:30:30.745Z</dcterms:created>
</cp:coreProperties>
</file>